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14" w:rsidRPr="00A67102" w:rsidRDefault="00C84914" w:rsidP="00C84914">
      <w:pPr>
        <w:pageBreakBefore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A67102">
        <w:rPr>
          <w:rFonts w:ascii="Times New Roman" w:eastAsia="標楷體" w:hAnsi="Times New Roman" w:cs="Times New Roman" w:hint="eastAsia"/>
          <w:b/>
          <w:sz w:val="40"/>
          <w:szCs w:val="40"/>
        </w:rPr>
        <w:t>集集攔河堰拆除可行性評估</w:t>
      </w:r>
    </w:p>
    <w:p w:rsidR="00C84914" w:rsidRPr="00390DFD" w:rsidRDefault="00C84914" w:rsidP="00C84914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b/>
          <w:sz w:val="28"/>
          <w:szCs w:val="28"/>
        </w:rPr>
        <w:t>壹、背景說明</w:t>
      </w:r>
    </w:p>
    <w:p w:rsidR="00C84914" w:rsidRPr="00390DFD" w:rsidRDefault="00C84914" w:rsidP="00C84914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一、集集攔河堰主要</w:t>
      </w:r>
      <w:r>
        <w:rPr>
          <w:rFonts w:ascii="標楷體" w:eastAsia="標楷體" w:hAnsi="標楷體" w:hint="eastAsia"/>
          <w:sz w:val="28"/>
          <w:szCs w:val="28"/>
        </w:rPr>
        <w:t>功能</w:t>
      </w:r>
      <w:r w:rsidRPr="00390DFD">
        <w:rPr>
          <w:rFonts w:ascii="標楷體" w:eastAsia="標楷體" w:hAnsi="標楷體" w:hint="eastAsia"/>
          <w:sz w:val="28"/>
          <w:szCs w:val="28"/>
        </w:rPr>
        <w:t>為提供濁水溪兩岸穩定之灌溉、民生及工業水源，減少彰雲沿海地下水抽取以緩和地盤下陷，</w:t>
      </w:r>
      <w:r>
        <w:rPr>
          <w:rFonts w:ascii="標楷體" w:eastAsia="標楷體" w:hAnsi="標楷體" w:hint="eastAsia"/>
          <w:sz w:val="28"/>
          <w:szCs w:val="28"/>
        </w:rPr>
        <w:t>自91年營運以來，</w:t>
      </w:r>
      <w:r w:rsidRPr="00390DFD">
        <w:rPr>
          <w:rFonts w:ascii="標楷體" w:eastAsia="標楷體" w:hAnsi="標楷體" w:hint="eastAsia"/>
          <w:sz w:val="28"/>
          <w:szCs w:val="28"/>
        </w:rPr>
        <w:t>濁水溪流域受氣候變遷及921地震影響，</w:t>
      </w:r>
      <w:r>
        <w:rPr>
          <w:rFonts w:ascii="標楷體" w:eastAsia="標楷體" w:hAnsi="標楷體" w:hint="eastAsia"/>
          <w:sz w:val="28"/>
          <w:szCs w:val="28"/>
        </w:rPr>
        <w:t>各界亦關注集集攔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河堰對濁水溪</w:t>
      </w:r>
      <w:proofErr w:type="gramEnd"/>
      <w:r>
        <w:rPr>
          <w:rFonts w:ascii="標楷體" w:eastAsia="標楷體" w:hAnsi="標楷體" w:hint="eastAsia"/>
          <w:sz w:val="28"/>
          <w:szCs w:val="28"/>
        </w:rPr>
        <w:t>河道之影響。</w:t>
      </w:r>
    </w:p>
    <w:p w:rsidR="00C84914" w:rsidRPr="00390DFD" w:rsidRDefault="00C84914" w:rsidP="00C84914">
      <w:pPr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本署於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107-108年共二年辦理「集集攔河堰水源運用、設施功能、下游河道及環境變遷檢討暨整體改善評估」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90DFD">
        <w:rPr>
          <w:rFonts w:ascii="標楷體" w:eastAsia="標楷體" w:hAnsi="標楷體"/>
          <w:sz w:val="28"/>
          <w:szCs w:val="28"/>
        </w:rPr>
        <w:t>將以集集攔河堰現行營運方式分析供水效益及設施功能評估，並探討對濁水溪影響，期能兼顧穩定供水與環境復育之發展目標，達成水環境資源永續經營。</w:t>
      </w:r>
    </w:p>
    <w:p w:rsidR="00C84914" w:rsidRPr="00390DFD" w:rsidRDefault="00C84914" w:rsidP="00C84914">
      <w:pPr>
        <w:spacing w:line="600" w:lineRule="exact"/>
        <w:ind w:left="426" w:hangingChars="152" w:hanging="426"/>
        <w:rPr>
          <w:rFonts w:ascii="標楷體" w:eastAsia="標楷體" w:hAnsi="標楷體"/>
          <w:b/>
          <w:sz w:val="28"/>
          <w:szCs w:val="28"/>
        </w:rPr>
      </w:pPr>
      <w:r w:rsidRPr="00390DFD">
        <w:rPr>
          <w:rFonts w:ascii="標楷體" w:eastAsia="標楷體" w:hAnsi="標楷體" w:hint="eastAsia"/>
          <w:b/>
          <w:sz w:val="28"/>
          <w:szCs w:val="28"/>
        </w:rPr>
        <w:t>貳、執行情形</w:t>
      </w:r>
    </w:p>
    <w:p w:rsidR="00C84914" w:rsidRPr="00390DFD" w:rsidRDefault="00C84914" w:rsidP="00C84914">
      <w:pPr>
        <w:spacing w:line="600" w:lineRule="exact"/>
        <w:ind w:left="426" w:hangingChars="152" w:hanging="426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一、期中階段成果：</w:t>
      </w:r>
    </w:p>
    <w:p w:rsidR="00C84914" w:rsidRPr="00390DFD" w:rsidRDefault="00C84914" w:rsidP="00C84914">
      <w:pPr>
        <w:spacing w:line="600" w:lineRule="exact"/>
        <w:ind w:leftChars="100" w:left="800" w:hangingChars="200" w:hanging="560"/>
        <w:rPr>
          <w:rFonts w:ascii="標楷體" w:eastAsia="標楷體" w:hAnsi="標楷體" w:cs="Arial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)各標的水源綜合評估方面，目前已將各標的於營運後之資料進行統計及比較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84914" w:rsidRPr="00390DFD" w:rsidRDefault="00C84914" w:rsidP="00C84914">
      <w:pPr>
        <w:pStyle w:val="Default"/>
        <w:spacing w:line="600" w:lineRule="exact"/>
        <w:ind w:leftChars="300" w:left="1140" w:hangingChars="150" w:hanging="420"/>
        <w:rPr>
          <w:rFonts w:hAnsi="標楷體"/>
          <w:sz w:val="28"/>
          <w:szCs w:val="28"/>
        </w:rPr>
      </w:pPr>
      <w:r w:rsidRPr="00390DFD">
        <w:rPr>
          <w:rFonts w:hAnsi="標楷體" w:hint="eastAsia"/>
          <w:sz w:val="28"/>
          <w:szCs w:val="28"/>
        </w:rPr>
        <w:t>1、農業用水方面，</w:t>
      </w:r>
      <w:r>
        <w:rPr>
          <w:rFonts w:hAnsi="標楷體" w:hint="eastAsia"/>
          <w:sz w:val="28"/>
          <w:szCs w:val="28"/>
        </w:rPr>
        <w:t>彰化及雲林農田水利會為供應約10萬公頃農田灌溉所需，</w:t>
      </w:r>
      <w:proofErr w:type="gramStart"/>
      <w:r>
        <w:rPr>
          <w:rFonts w:hAnsi="標楷體" w:hint="eastAsia"/>
          <w:sz w:val="28"/>
          <w:szCs w:val="28"/>
        </w:rPr>
        <w:t>建堰前</w:t>
      </w:r>
      <w:proofErr w:type="gramEnd"/>
      <w:r>
        <w:rPr>
          <w:rFonts w:hAnsi="標楷體" w:hint="eastAsia"/>
          <w:sz w:val="28"/>
          <w:szCs w:val="28"/>
        </w:rPr>
        <w:t>是以臨時性設施於濁水溪引水灌溉，但</w:t>
      </w:r>
      <w:proofErr w:type="gramStart"/>
      <w:r>
        <w:rPr>
          <w:rFonts w:hAnsi="標楷體" w:hint="eastAsia"/>
          <w:sz w:val="28"/>
          <w:szCs w:val="28"/>
        </w:rPr>
        <w:t>臨時性導水</w:t>
      </w:r>
      <w:proofErr w:type="gramEnd"/>
      <w:r>
        <w:rPr>
          <w:rFonts w:hAnsi="標楷體" w:hint="eastAsia"/>
          <w:sz w:val="28"/>
          <w:szCs w:val="28"/>
        </w:rPr>
        <w:t>設施常於豪雨</w:t>
      </w:r>
      <w:proofErr w:type="gramStart"/>
      <w:r>
        <w:rPr>
          <w:rFonts w:hAnsi="標楷體" w:hint="eastAsia"/>
          <w:sz w:val="28"/>
          <w:szCs w:val="28"/>
        </w:rPr>
        <w:t>發生時沖毀</w:t>
      </w:r>
      <w:proofErr w:type="gramEnd"/>
      <w:r>
        <w:rPr>
          <w:rFonts w:hAnsi="標楷體" w:hint="eastAsia"/>
          <w:sz w:val="28"/>
          <w:szCs w:val="28"/>
        </w:rPr>
        <w:t>，枯水期亦無法引取所需水量，致供水不穩定，集集攔河堰營運後顯示實際取水量與可引水量有正比關係，顯</w:t>
      </w:r>
      <w:r w:rsidRPr="00390DFD">
        <w:rPr>
          <w:rFonts w:hAnsi="標楷體" w:hint="eastAsia"/>
          <w:sz w:val="28"/>
          <w:szCs w:val="28"/>
        </w:rPr>
        <w:t>示</w:t>
      </w:r>
      <w:r>
        <w:rPr>
          <w:rFonts w:hAnsi="標楷體" w:hint="eastAsia"/>
          <w:sz w:val="28"/>
          <w:szCs w:val="28"/>
        </w:rPr>
        <w:t>已有效提升農業用水之穩定性</w:t>
      </w:r>
      <w:r w:rsidRPr="00390DFD">
        <w:rPr>
          <w:rFonts w:hAnsi="標楷體" w:hint="eastAsia"/>
          <w:sz w:val="28"/>
          <w:szCs w:val="28"/>
        </w:rPr>
        <w:t>。</w:t>
      </w:r>
      <w:r w:rsidRPr="00390DFD">
        <w:rPr>
          <w:rFonts w:hAnsi="標楷體"/>
          <w:sz w:val="28"/>
          <w:szCs w:val="28"/>
        </w:rPr>
        <w:t xml:space="preserve"> </w:t>
      </w:r>
    </w:p>
    <w:p w:rsidR="00C84914" w:rsidRPr="00390DFD" w:rsidRDefault="00C84914" w:rsidP="00C84914">
      <w:pPr>
        <w:pStyle w:val="Default"/>
        <w:spacing w:line="600" w:lineRule="exact"/>
        <w:ind w:leftChars="300" w:left="1140" w:hangingChars="150" w:hanging="420"/>
        <w:rPr>
          <w:rFonts w:hAnsi="標楷體"/>
          <w:sz w:val="28"/>
          <w:szCs w:val="28"/>
        </w:rPr>
      </w:pPr>
      <w:r>
        <w:rPr>
          <w:rFonts w:hAnsi="標楷體" w:cs="Arial"/>
          <w:sz w:val="28"/>
          <w:szCs w:val="28"/>
        </w:rPr>
        <w:t>2</w:t>
      </w:r>
      <w:r>
        <w:rPr>
          <w:rFonts w:hAnsi="標楷體" w:cs="Arial" w:hint="eastAsia"/>
          <w:sz w:val="28"/>
          <w:szCs w:val="28"/>
        </w:rPr>
        <w:t>、</w:t>
      </w:r>
      <w:r w:rsidRPr="00390DFD">
        <w:rPr>
          <w:rFonts w:hAnsi="標楷體" w:hint="eastAsia"/>
          <w:sz w:val="28"/>
          <w:szCs w:val="28"/>
        </w:rPr>
        <w:t>工業用水方面，現階段檢核工業</w:t>
      </w:r>
      <w:proofErr w:type="gramStart"/>
      <w:r w:rsidRPr="00390DFD">
        <w:rPr>
          <w:rFonts w:hAnsi="標楷體" w:hint="eastAsia"/>
          <w:sz w:val="28"/>
          <w:szCs w:val="28"/>
        </w:rPr>
        <w:t>用水用水</w:t>
      </w:r>
      <w:proofErr w:type="gramEnd"/>
      <w:r w:rsidRPr="00390DFD">
        <w:rPr>
          <w:rFonts w:hAnsi="標楷體" w:hint="eastAsia"/>
          <w:sz w:val="28"/>
          <w:szCs w:val="28"/>
        </w:rPr>
        <w:t>紀錄</w:t>
      </w:r>
      <w:r>
        <w:rPr>
          <w:rFonts w:hAnsi="標楷體" w:hint="eastAsia"/>
          <w:sz w:val="28"/>
          <w:szCs w:val="28"/>
        </w:rPr>
        <w:t>，</w:t>
      </w:r>
      <w:r w:rsidRPr="00390DFD">
        <w:rPr>
          <w:rFonts w:hAnsi="標楷體" w:hint="eastAsia"/>
          <w:sz w:val="28"/>
          <w:szCs w:val="28"/>
        </w:rPr>
        <w:t>結果</w:t>
      </w:r>
      <w:r>
        <w:rPr>
          <w:rFonts w:hAnsi="標楷體" w:hint="eastAsia"/>
          <w:sz w:val="28"/>
          <w:szCs w:val="28"/>
        </w:rPr>
        <w:t>顯示</w:t>
      </w:r>
      <w:r w:rsidRPr="00390DFD">
        <w:rPr>
          <w:rFonts w:hAnsi="標楷體" w:hint="eastAsia"/>
          <w:sz w:val="28"/>
          <w:szCs w:val="28"/>
        </w:rPr>
        <w:t>集集攔河堰之供水量，均符合其用水需求。</w:t>
      </w:r>
      <w:r w:rsidRPr="00390DFD">
        <w:rPr>
          <w:rFonts w:hAnsi="標楷體"/>
          <w:sz w:val="28"/>
          <w:szCs w:val="28"/>
        </w:rPr>
        <w:t xml:space="preserve"> </w:t>
      </w:r>
    </w:p>
    <w:p w:rsidR="00C84914" w:rsidRPr="00390DFD" w:rsidRDefault="00C84914" w:rsidP="00C84914">
      <w:pPr>
        <w:spacing w:line="6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lastRenderedPageBreak/>
        <w:t>3</w:t>
      </w:r>
      <w:r>
        <w:rPr>
          <w:rFonts w:ascii="標楷體" w:eastAsia="標楷體" w:hAnsi="標楷體" w:cs="Arial" w:hint="eastAsia"/>
          <w:sz w:val="28"/>
          <w:szCs w:val="28"/>
        </w:rPr>
        <w:t>、</w:t>
      </w:r>
      <w:r w:rsidRPr="00390DFD">
        <w:rPr>
          <w:rFonts w:ascii="標楷體" w:eastAsia="標楷體" w:hAnsi="標楷體" w:hint="eastAsia"/>
          <w:sz w:val="28"/>
          <w:szCs w:val="28"/>
        </w:rPr>
        <w:t>公共用水</w:t>
      </w:r>
      <w:r>
        <w:rPr>
          <w:rFonts w:ascii="標楷體" w:eastAsia="標楷體" w:hAnsi="標楷體" w:hint="eastAsia"/>
          <w:sz w:val="28"/>
          <w:szCs w:val="28"/>
        </w:rPr>
        <w:t>方面</w:t>
      </w:r>
      <w:r w:rsidRPr="00390DF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集集攔河堰建置後可提供穩定的地面水替代地下水，雲林地區地下水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公共用水比例，自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建堰前</w:t>
      </w:r>
      <w:proofErr w:type="gramEnd"/>
      <w:r>
        <w:rPr>
          <w:rFonts w:ascii="標楷體" w:eastAsia="標楷體" w:hAnsi="標楷體" w:hint="eastAsia"/>
          <w:sz w:val="28"/>
          <w:szCs w:val="28"/>
        </w:rPr>
        <w:t>100%至106年降至27%，與湖山水庫聯合運用後更降至1.6%，大幅減少地下水抽用量。</w:t>
      </w:r>
    </w:p>
    <w:p w:rsidR="00C84914" w:rsidRPr="00390DFD" w:rsidRDefault="00C84914" w:rsidP="00C84914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(二)既有設施功能評估項目，目前已將歷年歲修報告及安全評估報告資料進行整合及</w:t>
      </w:r>
      <w:r>
        <w:rPr>
          <w:rFonts w:ascii="標楷體" w:eastAsia="標楷體" w:hAnsi="標楷體" w:hint="eastAsia"/>
          <w:sz w:val="28"/>
          <w:szCs w:val="28"/>
        </w:rPr>
        <w:t>條列歷年遭遇之問題，現階段大部分設施皆屬正常，將</w:t>
      </w:r>
      <w:r w:rsidRPr="00390DFD">
        <w:rPr>
          <w:rFonts w:ascii="標楷體" w:eastAsia="標楷體" w:hAnsi="標楷體" w:hint="eastAsia"/>
          <w:sz w:val="28"/>
          <w:szCs w:val="28"/>
        </w:rPr>
        <w:t>針對有精進可能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之魚道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，以及排砂方面提出較可行之建議。</w:t>
      </w:r>
    </w:p>
    <w:p w:rsidR="00C84914" w:rsidRPr="00390DFD" w:rsidRDefault="00C84914" w:rsidP="00C84914">
      <w:pPr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(三)目前下游河道變遷，針對濁水溪斷面</w:t>
      </w:r>
      <w:r w:rsidRPr="00390DFD">
        <w:rPr>
          <w:rFonts w:ascii="標楷體" w:eastAsia="標楷體" w:hAnsi="標楷體" w:cs="Arial"/>
          <w:sz w:val="28"/>
          <w:szCs w:val="28"/>
        </w:rPr>
        <w:t>130</w:t>
      </w:r>
      <w:r w:rsidRPr="00390DFD">
        <w:rPr>
          <w:rFonts w:ascii="標楷體" w:eastAsia="標楷體" w:hAnsi="標楷體" w:hint="eastAsia"/>
          <w:sz w:val="28"/>
          <w:szCs w:val="28"/>
        </w:rPr>
        <w:t>至二水鐵路橋，河道縱斷面及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主深槽進行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資料之條列，並</w:t>
      </w:r>
      <w:r>
        <w:rPr>
          <w:rFonts w:ascii="標楷體" w:eastAsia="標楷體" w:hAnsi="標楷體" w:hint="eastAsia"/>
          <w:sz w:val="28"/>
          <w:szCs w:val="28"/>
        </w:rPr>
        <w:t>將持續</w:t>
      </w:r>
      <w:r w:rsidRPr="00390DFD">
        <w:rPr>
          <w:rFonts w:ascii="標楷體" w:eastAsia="標楷體" w:hAnsi="標楷體" w:hint="eastAsia"/>
          <w:sz w:val="28"/>
          <w:szCs w:val="28"/>
        </w:rPr>
        <w:t>針對集集攔河堰至名竹大橋之溯源侵蝕主要影響因子進行初步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釐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清，現階段</w:t>
      </w:r>
      <w:r>
        <w:rPr>
          <w:rFonts w:ascii="標楷體" w:eastAsia="標楷體" w:hAnsi="標楷體" w:hint="eastAsia"/>
          <w:sz w:val="28"/>
          <w:szCs w:val="28"/>
        </w:rPr>
        <w:t>評估</w:t>
      </w:r>
      <w:r w:rsidRPr="00390DFD">
        <w:rPr>
          <w:rFonts w:ascii="標楷體" w:eastAsia="標楷體" w:hAnsi="標楷體" w:cs="Arial"/>
          <w:sz w:val="28"/>
          <w:szCs w:val="28"/>
        </w:rPr>
        <w:t>921</w:t>
      </w:r>
      <w:r w:rsidRPr="00390DFD">
        <w:rPr>
          <w:rFonts w:ascii="標楷體" w:eastAsia="標楷體" w:hAnsi="標楷體" w:hint="eastAsia"/>
          <w:sz w:val="28"/>
          <w:szCs w:val="28"/>
        </w:rPr>
        <w:t>地震對於目前之溯源侵蝕之影響較大</w:t>
      </w:r>
      <w:r w:rsidRPr="00390DFD">
        <w:rPr>
          <w:rFonts w:ascii="標楷體" w:eastAsia="標楷體" w:hAnsi="標楷體" w:cs="Arial"/>
          <w:sz w:val="28"/>
          <w:szCs w:val="28"/>
        </w:rPr>
        <w:t>;</w:t>
      </w:r>
      <w:r w:rsidRPr="00390DFD">
        <w:rPr>
          <w:rFonts w:ascii="標楷體" w:eastAsia="標楷體" w:hAnsi="標楷體" w:hint="eastAsia"/>
          <w:sz w:val="28"/>
          <w:szCs w:val="28"/>
        </w:rPr>
        <w:t>河相連續性方面，由</w:t>
      </w:r>
      <w:r w:rsidRPr="00390DFD">
        <w:rPr>
          <w:rFonts w:ascii="標楷體" w:eastAsia="標楷體" w:hAnsi="標楷體" w:cs="Arial"/>
          <w:sz w:val="28"/>
          <w:szCs w:val="28"/>
        </w:rPr>
        <w:t>105</w:t>
      </w:r>
      <w:r>
        <w:rPr>
          <w:rFonts w:ascii="標楷體" w:eastAsia="標楷體" w:hAnsi="標楷體" w:cs="Arial" w:hint="eastAsia"/>
          <w:sz w:val="28"/>
          <w:szCs w:val="28"/>
        </w:rPr>
        <w:t>年</w:t>
      </w:r>
      <w:r w:rsidRPr="00390DFD">
        <w:rPr>
          <w:rFonts w:ascii="標楷體" w:eastAsia="標楷體" w:hAnsi="標楷體" w:hint="eastAsia"/>
          <w:sz w:val="28"/>
          <w:szCs w:val="28"/>
        </w:rPr>
        <w:t>之監測報告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指出魚道內部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生物總數無顯著提升、下游河道水質懸浮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固體及濁度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偏高，此乃濁水溪特性屬正常情況、但受生活、畜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禽廢污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堆積物及農作灌溉排水等影響，生化需氧量、氨氮、總磷略微偏高。</w:t>
      </w:r>
    </w:p>
    <w:p w:rsidR="00C84914" w:rsidRPr="00390DFD" w:rsidRDefault="00C84914" w:rsidP="00C84914">
      <w:pPr>
        <w:spacing w:line="6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(四)集集攔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河堰攔砂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對於海岸線之影響，目前由輸砂量之變化顯示，集集攔河堰對於整體濁水溪輸砂量及外傘頂洲影響並不顯著。</w:t>
      </w:r>
    </w:p>
    <w:p w:rsidR="00C84914" w:rsidRPr="00390DFD" w:rsidRDefault="00C84914" w:rsidP="00C84914">
      <w:pPr>
        <w:spacing w:line="60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(五)河川揚塵方面，現階段已蒐集揚塵易發區域及目前整治方法之資料，由現階段資料顯示，集集攔河堰之興建對於濁水溪揚塵無直接之影響。</w:t>
      </w:r>
    </w:p>
    <w:p w:rsidR="00C84914" w:rsidRPr="00390DFD" w:rsidRDefault="00C84914" w:rsidP="00C84914">
      <w:pPr>
        <w:autoSpaceDE w:val="0"/>
        <w:autoSpaceDN w:val="0"/>
        <w:adjustRightInd w:val="0"/>
        <w:spacing w:line="60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(六)</w:t>
      </w:r>
      <w:r w:rsidRPr="00390DFD">
        <w:rPr>
          <w:rFonts w:ascii="標楷體" w:eastAsia="標楷體" w:hAnsi="標楷體"/>
          <w:sz w:val="28"/>
          <w:szCs w:val="28"/>
        </w:rPr>
        <w:t>藉由比較濁水溪河道五公里範圍內之地下水位觀測資料，因民</w:t>
      </w:r>
      <w:r w:rsidRPr="00390DFD">
        <w:rPr>
          <w:rFonts w:ascii="標楷體" w:eastAsia="標楷體" w:hAnsi="標楷體"/>
          <w:sz w:val="28"/>
          <w:szCs w:val="28"/>
        </w:rPr>
        <w:lastRenderedPageBreak/>
        <w:t>國91</w:t>
      </w:r>
      <w:r w:rsidRPr="00390DFD">
        <w:rPr>
          <w:rFonts w:ascii="標楷體" w:eastAsia="標楷體" w:hAnsi="標楷體" w:cs="標楷體" w:hint="eastAsia"/>
          <w:sz w:val="28"/>
          <w:szCs w:val="28"/>
        </w:rPr>
        <w:t>至</w:t>
      </w:r>
      <w:r w:rsidRPr="00390DFD">
        <w:rPr>
          <w:rFonts w:ascii="標楷體" w:eastAsia="標楷體" w:hAnsi="標楷體"/>
          <w:sz w:val="28"/>
          <w:szCs w:val="28"/>
        </w:rPr>
        <w:t>92</w:t>
      </w:r>
      <w:r w:rsidRPr="00390DFD">
        <w:rPr>
          <w:rFonts w:ascii="標楷體" w:eastAsia="標楷體" w:hAnsi="標楷體" w:cs="標楷體" w:hint="eastAsia"/>
          <w:sz w:val="28"/>
          <w:szCs w:val="28"/>
        </w:rPr>
        <w:t>年為</w:t>
      </w:r>
      <w:proofErr w:type="gramStart"/>
      <w:r w:rsidRPr="00390DFD">
        <w:rPr>
          <w:rFonts w:ascii="標楷體" w:eastAsia="標楷體" w:hAnsi="標楷體" w:cs="標楷體" w:hint="eastAsia"/>
          <w:sz w:val="28"/>
          <w:szCs w:val="28"/>
        </w:rPr>
        <w:t>極枯年</w:t>
      </w:r>
      <w:proofErr w:type="gramEnd"/>
      <w:r w:rsidRPr="00390DFD">
        <w:rPr>
          <w:rFonts w:ascii="標楷體" w:eastAsia="標楷體" w:hAnsi="標楷體" w:cs="標楷體" w:hint="eastAsia"/>
          <w:sz w:val="28"/>
          <w:szCs w:val="28"/>
        </w:rPr>
        <w:t>地下水位呈向下趨勢，民國</w:t>
      </w:r>
      <w:r w:rsidRPr="00390DFD">
        <w:rPr>
          <w:rFonts w:ascii="標楷體" w:eastAsia="標楷體" w:hAnsi="標楷體"/>
          <w:sz w:val="28"/>
          <w:szCs w:val="28"/>
        </w:rPr>
        <w:t>93</w:t>
      </w:r>
      <w:r w:rsidRPr="00390DFD">
        <w:rPr>
          <w:rFonts w:ascii="標楷體" w:eastAsia="標楷體" w:hAnsi="標楷體" w:cs="標楷體" w:hint="eastAsia"/>
          <w:sz w:val="28"/>
          <w:szCs w:val="28"/>
        </w:rPr>
        <w:t>年為向上趨勢直至民國</w:t>
      </w:r>
      <w:r w:rsidRPr="00390DFD">
        <w:rPr>
          <w:rFonts w:ascii="標楷體" w:eastAsia="標楷體" w:hAnsi="標楷體"/>
          <w:sz w:val="28"/>
          <w:szCs w:val="28"/>
        </w:rPr>
        <w:t>102</w:t>
      </w:r>
      <w:r w:rsidRPr="00390DFD">
        <w:rPr>
          <w:rFonts w:ascii="標楷體" w:eastAsia="標楷體" w:hAnsi="標楷體" w:cs="標楷體" w:hint="eastAsia"/>
          <w:sz w:val="28"/>
          <w:szCs w:val="28"/>
        </w:rPr>
        <w:t>年趨向穩定狀態，至今</w:t>
      </w:r>
      <w:proofErr w:type="gramStart"/>
      <w:r w:rsidRPr="00390DFD">
        <w:rPr>
          <w:rFonts w:ascii="標楷體" w:eastAsia="標楷體" w:hAnsi="標楷體" w:cs="標楷體" w:hint="eastAsia"/>
          <w:sz w:val="28"/>
          <w:szCs w:val="28"/>
        </w:rPr>
        <w:t>大多數測</w:t>
      </w:r>
      <w:proofErr w:type="gramEnd"/>
      <w:r w:rsidRPr="00390DFD">
        <w:rPr>
          <w:rFonts w:ascii="標楷體" w:eastAsia="標楷體" w:hAnsi="標楷體" w:cs="標楷體" w:hint="eastAsia"/>
          <w:sz w:val="28"/>
          <w:szCs w:val="28"/>
        </w:rPr>
        <w:t>站之地下水位已高於集集攔河堰營運前之水位。</w:t>
      </w:r>
    </w:p>
    <w:p w:rsidR="00C84914" w:rsidRPr="00390DFD" w:rsidRDefault="00C84914" w:rsidP="00C84914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390DFD">
        <w:rPr>
          <w:rFonts w:ascii="標楷體" w:eastAsia="標楷體" w:hAnsi="標楷體" w:hint="eastAsia"/>
          <w:b/>
          <w:sz w:val="28"/>
          <w:szCs w:val="28"/>
        </w:rPr>
        <w:t>參、策進作為</w:t>
      </w:r>
    </w:p>
    <w:p w:rsidR="00C84914" w:rsidRPr="00390DFD" w:rsidRDefault="00C84914" w:rsidP="00C84914">
      <w:pPr>
        <w:autoSpaceDE w:val="0"/>
        <w:autoSpaceDN w:val="0"/>
        <w:adjustRightInd w:val="0"/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一、下游河道變遷方面，將持續蒐集關於歷年河道縱斷、河床質等資訊，以加強期中報告階段之成果可信度</w:t>
      </w:r>
      <w:r>
        <w:rPr>
          <w:rFonts w:ascii="標楷體" w:eastAsia="標楷體" w:hAnsi="標楷體" w:cs="Arial" w:hint="eastAsia"/>
          <w:sz w:val="28"/>
          <w:szCs w:val="28"/>
        </w:rPr>
        <w:t>；</w:t>
      </w:r>
      <w:r w:rsidRPr="00390DFD">
        <w:rPr>
          <w:rFonts w:ascii="標楷體" w:eastAsia="標楷體" w:hAnsi="標楷體" w:hint="eastAsia"/>
          <w:sz w:val="28"/>
          <w:szCs w:val="28"/>
        </w:rPr>
        <w:t>另外將進行數值模擬評估，集集攔河堰對於現今上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下游沖淤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之影響。</w:t>
      </w:r>
    </w:p>
    <w:p w:rsidR="00C84914" w:rsidRPr="00390DFD" w:rsidRDefault="00C84914" w:rsidP="00C84914">
      <w:pPr>
        <w:autoSpaceDE w:val="0"/>
        <w:autoSpaceDN w:val="0"/>
        <w:adjustRightInd w:val="0"/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二、揚塵課題部分，將以現有蒐集資料進行後續延伸探討，如集集攔河堰因應揚塵之</w:t>
      </w:r>
      <w:r w:rsidRPr="00390DFD">
        <w:rPr>
          <w:rFonts w:ascii="標楷體" w:eastAsia="標楷體" w:hAnsi="標楷體" w:cs="Arial"/>
          <w:sz w:val="28"/>
          <w:szCs w:val="28"/>
        </w:rPr>
        <w:t>10</w:t>
      </w:r>
      <w:r w:rsidRPr="00390DFD">
        <w:rPr>
          <w:rFonts w:ascii="標楷體" w:eastAsia="標楷體" w:hAnsi="標楷體" w:hint="eastAsia"/>
          <w:sz w:val="28"/>
          <w:szCs w:val="28"/>
        </w:rPr>
        <w:t>萬噸水量對於整體下游揚塵易發區域之影響程度評估。</w:t>
      </w:r>
    </w:p>
    <w:p w:rsidR="00C84914" w:rsidRPr="00390DFD" w:rsidRDefault="00C84914" w:rsidP="00C84914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C84914" w:rsidRPr="00390DFD" w:rsidRDefault="00C84914" w:rsidP="00C84914">
      <w:pPr>
        <w:autoSpaceDE w:val="0"/>
        <w:autoSpaceDN w:val="0"/>
        <w:adjustRightInd w:val="0"/>
        <w:spacing w:line="60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390DFD">
        <w:rPr>
          <w:rFonts w:ascii="標楷體" w:eastAsia="標楷體" w:hAnsi="標楷體" w:hint="eastAsia"/>
          <w:b/>
          <w:sz w:val="28"/>
          <w:szCs w:val="28"/>
        </w:rPr>
        <w:t>肆、結語</w:t>
      </w:r>
    </w:p>
    <w:p w:rsidR="00C84914" w:rsidRPr="00390DFD" w:rsidRDefault="00C84914" w:rsidP="00C84914">
      <w:pPr>
        <w:autoSpaceDE w:val="0"/>
        <w:autoSpaceDN w:val="0"/>
        <w:adjustRightInd w:val="0"/>
        <w:spacing w:line="6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一、集集攔河堰供水標的中，大部分是供農業使用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比約92%，其餘分別是工業用水約6%、公共用水約2%，集集攔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河堰對彰化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及雲林地區約10萬公頃農田灌溉用水之穩定性，有非常大的助益。</w:t>
      </w:r>
    </w:p>
    <w:p w:rsidR="00C84914" w:rsidRDefault="00C84914" w:rsidP="00C84914">
      <w:pPr>
        <w:adjustRightInd w:val="0"/>
        <w:snapToGrid w:val="0"/>
        <w:spacing w:line="6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390DFD">
        <w:rPr>
          <w:rFonts w:ascii="標楷體" w:eastAsia="標楷體" w:hAnsi="標楷體" w:hint="eastAsia"/>
          <w:sz w:val="28"/>
          <w:szCs w:val="28"/>
        </w:rPr>
        <w:t>二、濁水溪因地形等天然因素影響，豐枯水期流量變化大，有關河道變遷、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上淤下沖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等情形，其影響因素</w:t>
      </w:r>
      <w:proofErr w:type="gramStart"/>
      <w:r w:rsidRPr="00390DFD">
        <w:rPr>
          <w:rFonts w:ascii="標楷體" w:eastAsia="標楷體" w:hAnsi="標楷體" w:hint="eastAsia"/>
          <w:sz w:val="28"/>
          <w:szCs w:val="28"/>
        </w:rPr>
        <w:t>眾多，</w:t>
      </w:r>
      <w:proofErr w:type="gramEnd"/>
      <w:r w:rsidRPr="00390DFD">
        <w:rPr>
          <w:rFonts w:ascii="標楷體" w:eastAsia="標楷體" w:hAnsi="標楷體" w:hint="eastAsia"/>
          <w:sz w:val="28"/>
          <w:szCs w:val="28"/>
        </w:rPr>
        <w:t>本計畫將持續透過模式分析等方式，於不影響各標的用水穩定下，進行整體檢討及改善評估。</w:t>
      </w:r>
    </w:p>
    <w:p w:rsidR="007B1A6C" w:rsidRPr="00C84914" w:rsidRDefault="007B1A6C">
      <w:bookmarkStart w:id="0" w:name="_GoBack"/>
      <w:bookmarkEnd w:id="0"/>
    </w:p>
    <w:sectPr w:rsidR="007B1A6C" w:rsidRPr="00C84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14"/>
    <w:rsid w:val="007B1A6C"/>
    <w:rsid w:val="00C8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9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91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1226</Characters>
  <Application>Microsoft Office Word</Application>
  <DocSecurity>0</DocSecurity>
  <Lines>10</Lines>
  <Paragraphs>2</Paragraphs>
  <ScaleCrop>false</ScaleCrop>
  <Company>WRA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廖桂依</dc:creator>
  <cp:lastModifiedBy>廖桂依</cp:lastModifiedBy>
  <cp:revision>1</cp:revision>
  <dcterms:created xsi:type="dcterms:W3CDTF">2019-05-13T09:28:00Z</dcterms:created>
  <dcterms:modified xsi:type="dcterms:W3CDTF">2019-05-13T09:28:00Z</dcterms:modified>
</cp:coreProperties>
</file>