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9" w:rsidRPr="00793CDB" w:rsidRDefault="00375F69" w:rsidP="00375F69">
      <w:pPr>
        <w:pStyle w:val="a3"/>
        <w:pageBreakBefore/>
        <w:widowControl/>
        <w:spacing w:line="440" w:lineRule="exact"/>
        <w:ind w:leftChars="0" w:left="357"/>
        <w:jc w:val="center"/>
        <w:rPr>
          <w:rFonts w:ascii="標楷體" w:eastAsia="標楷體" w:hAnsi="標楷體"/>
          <w:b/>
          <w:bCs/>
          <w:snapToGrid w:val="0"/>
          <w:kern w:val="0"/>
          <w:sz w:val="40"/>
          <w:szCs w:val="40"/>
        </w:rPr>
      </w:pPr>
      <w:bookmarkStart w:id="0" w:name="_GoBack"/>
      <w:bookmarkEnd w:id="0"/>
      <w:r w:rsidRPr="00793CDB">
        <w:rPr>
          <w:rFonts w:ascii="標楷體" w:eastAsia="標楷體" w:hAnsi="標楷體" w:hint="eastAsia"/>
          <w:b/>
          <w:bCs/>
          <w:snapToGrid w:val="0"/>
          <w:kern w:val="0"/>
          <w:sz w:val="40"/>
          <w:szCs w:val="40"/>
        </w:rPr>
        <w:t>山上淨水場供水系統改善工程</w:t>
      </w:r>
    </w:p>
    <w:p w:rsidR="00375F69" w:rsidRPr="00AD2903" w:rsidRDefault="00375F69" w:rsidP="00375F69">
      <w:pPr>
        <w:widowControl/>
        <w:spacing w:line="440" w:lineRule="exact"/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</w:pPr>
    </w:p>
    <w:p w:rsidR="00375F69" w:rsidRPr="00793CDB" w:rsidRDefault="00375F69" w:rsidP="00375F69">
      <w:pPr>
        <w:spacing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/>
          <w:b/>
          <w:sz w:val="28"/>
          <w:szCs w:val="28"/>
        </w:rPr>
        <w:t>壹、背景說明</w:t>
      </w:r>
    </w:p>
    <w:p w:rsidR="00375F69" w:rsidRPr="00793CDB" w:rsidRDefault="00375F69" w:rsidP="00375F6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一、計畫期程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108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年至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112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年，經費</w:t>
      </w:r>
      <w:r w:rsidRPr="00793CDB">
        <w:rPr>
          <w:rFonts w:ascii="Times New Roman" w:eastAsia="標楷體" w:hAnsi="Times New Roman" w:cs="Times New Roman"/>
          <w:sz w:val="28"/>
          <w:szCs w:val="28"/>
        </w:rPr>
        <w:t>25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億元。</w:t>
      </w:r>
    </w:p>
    <w:p w:rsidR="00375F69" w:rsidRPr="00793CDB" w:rsidRDefault="00375F69" w:rsidP="00375F69">
      <w:pPr>
        <w:spacing w:line="60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主要工程：</w:t>
      </w:r>
    </w:p>
    <w:p w:rsidR="00375F69" w:rsidRPr="00793CDB" w:rsidRDefault="00375F69" w:rsidP="00375F69">
      <w:pPr>
        <w:spacing w:line="600" w:lineRule="exact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提升山上淨水場處理能力達提供飲用水每日</w:t>
      </w:r>
      <w:r w:rsidRPr="00793CDB">
        <w:rPr>
          <w:rFonts w:ascii="Times New Roman" w:eastAsia="標楷體" w:hAnsi="Times New Roman" w:cs="Times New Roman"/>
          <w:sz w:val="28"/>
          <w:szCs w:val="28"/>
        </w:rPr>
        <w:t>5</w:t>
      </w:r>
      <w:r w:rsidRPr="00793CDB">
        <w:rPr>
          <w:rFonts w:ascii="Times New Roman" w:eastAsia="標楷體" w:hAnsi="Times New Roman" w:cs="Times New Roman"/>
          <w:sz w:val="28"/>
          <w:szCs w:val="28"/>
        </w:rPr>
        <w:t>萬噸。</w:t>
      </w:r>
    </w:p>
    <w:p w:rsidR="00375F69" w:rsidRPr="00793CDB" w:rsidRDefault="00375F69" w:rsidP="00375F69">
      <w:pPr>
        <w:spacing w:line="600" w:lineRule="exact"/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設置送水管線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13.5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公里，輸水能力每日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10</w:t>
      </w:r>
      <w:r w:rsidRPr="00793CDB">
        <w:rPr>
          <w:rFonts w:ascii="Times New Roman" w:eastAsia="標楷體" w:hAnsi="Times New Roman" w:cs="Times New Roman"/>
          <w:sz w:val="28"/>
          <w:szCs w:val="28"/>
        </w:rPr>
        <w:t>萬噸。</w:t>
      </w:r>
    </w:p>
    <w:p w:rsidR="00375F69" w:rsidRPr="00793CDB" w:rsidRDefault="00375F69" w:rsidP="00375F6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93CDB">
        <w:rPr>
          <w:rFonts w:ascii="Times New Roman" w:eastAsia="標楷體" w:hAnsi="Times New Roman" w:cs="Times New Roman"/>
          <w:sz w:val="28"/>
          <w:szCs w:val="28"/>
        </w:rPr>
        <w:t>、計畫效益：</w:t>
      </w:r>
    </w:p>
    <w:p w:rsidR="00375F69" w:rsidRPr="00793CDB" w:rsidRDefault="00375F69" w:rsidP="00375F69">
      <w:pPr>
        <w:spacing w:line="600" w:lineRule="exact"/>
        <w:ind w:leftChars="177" w:left="991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提升台南地區供水穩定及增加水源調度能力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每日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10</w:t>
      </w:r>
      <w:r w:rsidRPr="00793CDB">
        <w:rPr>
          <w:rFonts w:ascii="Times New Roman" w:eastAsia="標楷體" w:hAnsi="Times New Roman" w:cs="Times New Roman"/>
          <w:sz w:val="28"/>
          <w:szCs w:val="28"/>
        </w:rPr>
        <w:t>萬噸。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本計畫送水管搭配既有曾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文與潭頂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淨水場後端自來水系統及再生水等水源，供台南及科學園區各項用水，提升水源調度備援能力及供水穩定。</w:t>
      </w: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262217" wp14:editId="6EF6B1BB">
            <wp:simplePos x="0" y="0"/>
            <wp:positionH relativeFrom="column">
              <wp:posOffset>641350</wp:posOffset>
            </wp:positionH>
            <wp:positionV relativeFrom="paragraph">
              <wp:posOffset>111125</wp:posOffset>
            </wp:positionV>
            <wp:extent cx="5169535" cy="2685415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南山上淨水場工程效益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p w:rsidR="00375F69" w:rsidRPr="00793CDB" w:rsidRDefault="00375F69" w:rsidP="00375F69">
      <w:pPr>
        <w:ind w:leftChars="176" w:left="782" w:hangingChars="150" w:hanging="360"/>
        <w:jc w:val="center"/>
        <w:rPr>
          <w:rFonts w:ascii="Times New Roman" w:eastAsia="標楷體" w:hAnsi="Times New Roman" w:cs="Times New Roman"/>
          <w:szCs w:val="24"/>
        </w:rPr>
      </w:pPr>
      <w:r w:rsidRPr="00793CDB">
        <w:rPr>
          <w:rFonts w:ascii="Times New Roman" w:eastAsia="標楷體" w:hAnsi="Times New Roman" w:cs="Times New Roman" w:hint="eastAsia"/>
          <w:szCs w:val="24"/>
        </w:rPr>
        <w:t>台南山上淨水場供水系統改善工程計畫主要工程項目圖</w:t>
      </w:r>
    </w:p>
    <w:p w:rsidR="00375F69" w:rsidRPr="00793CDB" w:rsidRDefault="00375F69" w:rsidP="00375F69">
      <w:pPr>
        <w:spacing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/>
          <w:b/>
          <w:sz w:val="28"/>
          <w:szCs w:val="28"/>
        </w:rPr>
        <w:t>貳、執行情形</w:t>
      </w:r>
    </w:p>
    <w:p w:rsidR="00375F69" w:rsidRPr="00793CDB" w:rsidRDefault="00375F69" w:rsidP="00375F69">
      <w:pPr>
        <w:spacing w:line="60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一、計畫主要工程執行進度：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送水管線工程：委託技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術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服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務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已於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108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年</w:t>
      </w:r>
      <w:r w:rsidRPr="00793CDB">
        <w:rPr>
          <w:rFonts w:ascii="Times New Roman" w:eastAsia="標楷體" w:hAnsi="Times New Roman" w:cs="Times New Roman"/>
          <w:sz w:val="28"/>
          <w:szCs w:val="28"/>
        </w:rPr>
        <w:t>3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月</w:t>
      </w:r>
      <w:r w:rsidRPr="00793CDB">
        <w:rPr>
          <w:rFonts w:ascii="Times New Roman" w:eastAsia="標楷體" w:hAnsi="Times New Roman" w:cs="Times New Roman"/>
          <w:sz w:val="28"/>
          <w:szCs w:val="28"/>
        </w:rPr>
        <w:t>29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日完成資格</w:t>
      </w:r>
      <w:r w:rsidRPr="00793CDB">
        <w:rPr>
          <w:rFonts w:ascii="Times New Roman" w:eastAsia="標楷體" w:hAnsi="Times New Roman" w:cs="Times New Roman"/>
          <w:sz w:val="28"/>
          <w:szCs w:val="28"/>
        </w:rPr>
        <w:lastRenderedPageBreak/>
        <w:t>標審查，</w:t>
      </w:r>
      <w:r w:rsidRPr="00793CDB">
        <w:rPr>
          <w:rFonts w:ascii="Times New Roman" w:eastAsia="標楷體" w:hAnsi="Times New Roman" w:cs="Times New Roman"/>
          <w:sz w:val="28"/>
          <w:szCs w:val="28"/>
        </w:rPr>
        <w:t>4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月</w:t>
      </w:r>
      <w:r w:rsidRPr="00793CDB">
        <w:rPr>
          <w:rFonts w:ascii="Times New Roman" w:eastAsia="標楷體" w:hAnsi="Times New Roman" w:cs="Times New Roman"/>
          <w:sz w:val="28"/>
          <w:szCs w:val="28"/>
        </w:rPr>
        <w:t>30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日完成議價後決標。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山上淨水場工程：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台水公司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刻正簽辦成立採購評選委員會，預計於</w:t>
      </w:r>
      <w:r w:rsidRPr="00793CDB">
        <w:rPr>
          <w:rFonts w:ascii="Times New Roman" w:eastAsia="標楷體" w:hAnsi="Times New Roman" w:cs="Times New Roman"/>
          <w:sz w:val="28"/>
          <w:szCs w:val="28"/>
        </w:rPr>
        <w:t>108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年</w:t>
      </w:r>
      <w:r w:rsidRPr="00793CDB">
        <w:rPr>
          <w:rFonts w:ascii="Times New Roman" w:eastAsia="標楷體" w:hAnsi="Times New Roman" w:cs="Times New Roman"/>
          <w:sz w:val="28"/>
          <w:szCs w:val="28"/>
        </w:rPr>
        <w:t>5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月底完成委託技術服務發包。</w:t>
      </w:r>
    </w:p>
    <w:p w:rsidR="00375F69" w:rsidRPr="00793CDB" w:rsidRDefault="00375F69" w:rsidP="00375F69">
      <w:pPr>
        <w:spacing w:line="600" w:lineRule="exact"/>
        <w:ind w:leftChars="58" w:left="705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二、為管控計畫執行進度，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  <w:lang w:val="zh-TW"/>
        </w:rPr>
        <w:t>本署</w:t>
      </w:r>
      <w:r w:rsidRPr="00793C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召開</w:t>
      </w:r>
      <w:r w:rsidRPr="00793CDB">
        <w:rPr>
          <w:rFonts w:ascii="Times New Roman" w:eastAsia="標楷體" w:hAnsi="Times New Roman" w:cs="Times New Roman"/>
          <w:sz w:val="28"/>
          <w:szCs w:val="28"/>
        </w:rPr>
        <w:t>3</w:t>
      </w:r>
      <w:r w:rsidRPr="00793CDB">
        <w:rPr>
          <w:rFonts w:ascii="Times New Roman" w:eastAsia="標楷體" w:hAnsi="Times New Roman" w:cs="Times New Roman"/>
          <w:sz w:val="28"/>
          <w:szCs w:val="28"/>
        </w:rPr>
        <w:t>次控管會議，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能如期如質達成計畫目標。</w:t>
      </w:r>
    </w:p>
    <w:p w:rsidR="00375F69" w:rsidRPr="00793CDB" w:rsidRDefault="00375F69" w:rsidP="00375F69">
      <w:pPr>
        <w:spacing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/>
          <w:b/>
          <w:sz w:val="28"/>
          <w:szCs w:val="28"/>
        </w:rPr>
        <w:t>參、策進作為</w:t>
      </w:r>
    </w:p>
    <w:p w:rsidR="00375F69" w:rsidRPr="00793CDB" w:rsidRDefault="00375F69" w:rsidP="00375F69">
      <w:pPr>
        <w:spacing w:line="600" w:lineRule="exact"/>
        <w:ind w:leftChars="59" w:left="70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一、</w:t>
      </w:r>
      <w:r w:rsidRPr="00793CDB">
        <w:rPr>
          <w:rFonts w:ascii="Times New Roman" w:eastAsia="標楷體" w:hAnsi="Times New Roman" w:cs="Times New Roman" w:hint="eastAsia"/>
          <w:b/>
          <w:sz w:val="28"/>
          <w:szCs w:val="28"/>
        </w:rPr>
        <w:t>未涉及自來水水質水量保護區解編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為因應氣候變遷及穩定台南供水，需強化淨水場處理能力及水資源調度備援能力，行政院已核定推動曾文水庫加高、曾文南化聯通管、台南高雄管線系統互相支援及山上淨水場改善等多項計畫。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山上淨水場改善計畫目標為提升台南公共用水穩定，係穩定台南供水之重要配套計畫，完成後可強化台南地區供水系統穩定及調度能力，對民生及產業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用水均有正面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助益，與保護區解編與否無關。</w:t>
      </w:r>
    </w:p>
    <w:p w:rsidR="00375F69" w:rsidRPr="00793CDB" w:rsidRDefault="00375F69" w:rsidP="00375F69">
      <w:pPr>
        <w:spacing w:line="600" w:lineRule="exact"/>
        <w:ind w:leftChars="59" w:left="708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793CDB">
        <w:rPr>
          <w:rFonts w:ascii="Times New Roman" w:eastAsia="標楷體" w:hAnsi="Times New Roman" w:cs="Times New Roman" w:hint="eastAsia"/>
          <w:b/>
          <w:sz w:val="28"/>
          <w:szCs w:val="28"/>
        </w:rPr>
        <w:t>可提升台南地區水源調度備援能力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豐水期間優先取用玉峰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堰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水量，以減少南化水庫出水量，如此可增加台南地區枯水期調度水量，有助於區域水資源的調度運用，進而減少缺水風險。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水源運用順序原則優先使用玉峰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堰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水源，其次是曾文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烏山頭水庫，再其次是南化水庫供水，實際運用時尚需考量農業用水、水庫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蓄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存量、台南高雄地區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水情及未來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降雨氣候等因素，配合區域調度原則，以穩定台南地區用水。</w:t>
      </w:r>
    </w:p>
    <w:p w:rsidR="00375F69" w:rsidRPr="00793CDB" w:rsidRDefault="00375F69" w:rsidP="00375F69">
      <w:pPr>
        <w:spacing w:line="600" w:lineRule="exact"/>
        <w:ind w:leftChars="59" w:left="70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三、</w:t>
      </w:r>
      <w:r w:rsidRPr="00793CDB">
        <w:rPr>
          <w:rFonts w:ascii="Times New Roman" w:eastAsia="標楷體" w:hAnsi="Times New Roman" w:cs="Times New Roman" w:hint="eastAsia"/>
          <w:b/>
          <w:sz w:val="28"/>
          <w:szCs w:val="28"/>
        </w:rPr>
        <w:t>持續與環保團體溝通交流，以化解歧見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水利署已於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日邀集台灣水資源保育聯盟陳椒華理事長、荒野保護協會台南分會張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讚合副分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會長及相關環保團體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與台水公司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、台南市政府等單位，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於台水公司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潭頂淨水場召開座談會，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聽取環團意見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並就本計畫推動必要性及正當性進行說明。</w:t>
      </w:r>
    </w:p>
    <w:p w:rsidR="00375F69" w:rsidRPr="00793CDB" w:rsidRDefault="00375F69" w:rsidP="00375F69">
      <w:pPr>
        <w:spacing w:line="600" w:lineRule="exact"/>
        <w:ind w:leftChars="176" w:left="842" w:hangingChars="150" w:hanging="420"/>
        <w:rPr>
          <w:rFonts w:ascii="Times New Roman" w:eastAsia="標楷體" w:hAnsi="Times New Roman"/>
          <w:sz w:val="28"/>
          <w:szCs w:val="28"/>
          <w:lang w:val="zh-TW"/>
        </w:rPr>
      </w:pP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93CDB">
        <w:rPr>
          <w:rFonts w:ascii="Times New Roman" w:eastAsia="標楷體" w:hAnsi="Times New Roman" w:hint="eastAsia"/>
          <w:sz w:val="28"/>
          <w:szCs w:val="28"/>
          <w:lang w:val="zh-TW"/>
        </w:rPr>
        <w:t>水利署</w:t>
      </w:r>
      <w:proofErr w:type="gramStart"/>
      <w:r w:rsidRPr="00793CDB">
        <w:rPr>
          <w:rFonts w:ascii="Times New Roman" w:eastAsia="標楷體" w:hAnsi="Times New Roman" w:hint="eastAsia"/>
          <w:sz w:val="28"/>
          <w:szCs w:val="28"/>
          <w:lang w:val="zh-TW"/>
        </w:rPr>
        <w:t>及台水公司</w:t>
      </w:r>
      <w:proofErr w:type="gramEnd"/>
      <w:r w:rsidRPr="00793CDB">
        <w:rPr>
          <w:rFonts w:ascii="Times New Roman" w:eastAsia="標楷體" w:hAnsi="Times New Roman" w:hint="eastAsia"/>
          <w:sz w:val="28"/>
          <w:szCs w:val="28"/>
          <w:lang w:val="zh-TW"/>
        </w:rPr>
        <w:t>將持續與環保團體溝通交流，以化解歧見，</w:t>
      </w:r>
      <w:proofErr w:type="gramStart"/>
      <w:r w:rsidRPr="00793CDB">
        <w:rPr>
          <w:rFonts w:ascii="Times New Roman" w:eastAsia="標楷體" w:hAnsi="Times New Roman" w:hint="eastAsia"/>
          <w:sz w:val="28"/>
          <w:szCs w:val="28"/>
          <w:lang w:val="zh-TW"/>
        </w:rPr>
        <w:t>俾</w:t>
      </w:r>
      <w:proofErr w:type="gramEnd"/>
      <w:r w:rsidRPr="00793CDB">
        <w:rPr>
          <w:rFonts w:ascii="Times New Roman" w:eastAsia="標楷體" w:hAnsi="Times New Roman" w:hint="eastAsia"/>
          <w:sz w:val="28"/>
          <w:szCs w:val="28"/>
          <w:lang w:val="zh-TW"/>
        </w:rPr>
        <w:t>利計畫推動。</w:t>
      </w:r>
    </w:p>
    <w:tbl>
      <w:tblPr>
        <w:tblStyle w:val="2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75F69" w:rsidRPr="00793CDB" w:rsidTr="00B128E7">
        <w:trPr>
          <w:trHeight w:val="3251"/>
        </w:trPr>
        <w:tc>
          <w:tcPr>
            <w:tcW w:w="5261" w:type="dxa"/>
          </w:tcPr>
          <w:p w:rsidR="00375F69" w:rsidRPr="00793CDB" w:rsidRDefault="00375F69" w:rsidP="00B128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3CDB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90D49EC" wp14:editId="5DD9A7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120015</wp:posOffset>
                  </wp:positionV>
                  <wp:extent cx="3196800" cy="1800000"/>
                  <wp:effectExtent l="0" t="0" r="381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313_1124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375F69" w:rsidRPr="00793CDB" w:rsidRDefault="00375F69" w:rsidP="00B128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3CDB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F3C9CF" wp14:editId="0091AA5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113665</wp:posOffset>
                  </wp:positionV>
                  <wp:extent cx="3196800" cy="1800000"/>
                  <wp:effectExtent l="0" t="0" r="381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313_1125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5F69" w:rsidRPr="00793CDB" w:rsidRDefault="00375F69" w:rsidP="00375F69">
      <w:pPr>
        <w:ind w:leftChars="176" w:left="782" w:hangingChars="150" w:hanging="360"/>
        <w:jc w:val="center"/>
        <w:rPr>
          <w:rFonts w:ascii="Times New Roman" w:eastAsia="標楷體" w:hAnsi="Times New Roman"/>
          <w:szCs w:val="24"/>
          <w:lang w:val="zh-TW"/>
        </w:rPr>
      </w:pPr>
      <w:r w:rsidRPr="00793CDB">
        <w:rPr>
          <w:rFonts w:ascii="Times New Roman" w:eastAsia="標楷體" w:hAnsi="Times New Roman" w:hint="eastAsia"/>
          <w:szCs w:val="24"/>
          <w:lang w:val="zh-TW"/>
        </w:rPr>
        <w:t>108</w:t>
      </w:r>
      <w:r w:rsidRPr="00793CDB">
        <w:rPr>
          <w:rFonts w:ascii="Times New Roman" w:eastAsia="標楷體" w:hAnsi="Times New Roman" w:hint="eastAsia"/>
          <w:szCs w:val="24"/>
          <w:lang w:val="zh-TW"/>
        </w:rPr>
        <w:t>年</w:t>
      </w:r>
      <w:r w:rsidRPr="00793CDB">
        <w:rPr>
          <w:rFonts w:ascii="Times New Roman" w:eastAsia="標楷體" w:hAnsi="Times New Roman" w:hint="eastAsia"/>
          <w:szCs w:val="24"/>
          <w:lang w:val="zh-TW"/>
        </w:rPr>
        <w:t>3</w:t>
      </w:r>
      <w:r w:rsidRPr="00793CDB">
        <w:rPr>
          <w:rFonts w:ascii="Times New Roman" w:eastAsia="標楷體" w:hAnsi="Times New Roman" w:hint="eastAsia"/>
          <w:szCs w:val="24"/>
          <w:lang w:val="zh-TW"/>
        </w:rPr>
        <w:t>月</w:t>
      </w:r>
      <w:r w:rsidRPr="00793CDB">
        <w:rPr>
          <w:rFonts w:ascii="Times New Roman" w:eastAsia="標楷體" w:hAnsi="Times New Roman" w:hint="eastAsia"/>
          <w:szCs w:val="24"/>
          <w:lang w:val="zh-TW"/>
        </w:rPr>
        <w:t>13</w:t>
      </w:r>
      <w:r w:rsidRPr="00793CDB">
        <w:rPr>
          <w:rFonts w:ascii="Times New Roman" w:eastAsia="標楷體" w:hAnsi="Times New Roman" w:hint="eastAsia"/>
          <w:szCs w:val="24"/>
          <w:lang w:val="zh-TW"/>
        </w:rPr>
        <w:t>日水利署邀請</w:t>
      </w:r>
      <w:r w:rsidRPr="00793CDB">
        <w:rPr>
          <w:rFonts w:ascii="Times New Roman" w:eastAsia="標楷體" w:hAnsi="Times New Roman" w:hint="eastAsia"/>
          <w:szCs w:val="24"/>
          <w:lang w:val="zh-TW"/>
        </w:rPr>
        <w:t>NGO</w:t>
      </w:r>
      <w:r w:rsidRPr="00793CDB">
        <w:rPr>
          <w:rFonts w:ascii="Times New Roman" w:eastAsia="標楷體" w:hAnsi="Times New Roman" w:hint="eastAsia"/>
          <w:szCs w:val="24"/>
          <w:lang w:val="zh-TW"/>
        </w:rPr>
        <w:t>舉辦座談會議</w:t>
      </w:r>
    </w:p>
    <w:p w:rsidR="00375F69" w:rsidRPr="00793CDB" w:rsidRDefault="00375F69" w:rsidP="00375F69">
      <w:pPr>
        <w:spacing w:line="600" w:lineRule="exact"/>
        <w:rPr>
          <w:rFonts w:ascii="Times New Roman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/>
          <w:b/>
          <w:sz w:val="28"/>
          <w:szCs w:val="28"/>
        </w:rPr>
        <w:t>肆、結語</w:t>
      </w:r>
    </w:p>
    <w:p w:rsidR="00375F69" w:rsidRPr="00793CDB" w:rsidRDefault="00375F69" w:rsidP="00375F69">
      <w:pPr>
        <w:spacing w:line="60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一、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本計畫透過改善山上淨水場功能及新設送水管線，提升台南地區水資源調度能力達每日最大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萬噸，透過水源調度運用，可提高台南地區民生及產業用水之供水穩定度，為台南地區重要供水配套工程，與解編水質水量保護區無關。</w:t>
      </w:r>
    </w:p>
    <w:p w:rsidR="00375F69" w:rsidRDefault="00375F69" w:rsidP="00375F69">
      <w:pPr>
        <w:widowControl/>
        <w:spacing w:line="600" w:lineRule="exact"/>
        <w:ind w:left="708" w:hangingChars="253" w:hanging="708"/>
        <w:rPr>
          <w:rFonts w:ascii="Times New Roman" w:eastAsia="標楷體" w:hAnsi="Times New Roman" w:cs="Times New Roman"/>
          <w:b/>
          <w:sz w:val="28"/>
          <w:szCs w:val="28"/>
        </w:rPr>
      </w:pPr>
      <w:r w:rsidRPr="00793C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93CDB">
        <w:rPr>
          <w:rFonts w:ascii="Times New Roman" w:eastAsia="標楷體" w:hAnsi="Times New Roman" w:cs="Times New Roman"/>
          <w:sz w:val="28"/>
          <w:szCs w:val="28"/>
        </w:rPr>
        <w:t>二、</w:t>
      </w:r>
      <w:r w:rsidRPr="00793CDB">
        <w:rPr>
          <w:rFonts w:ascii="Times New Roman" w:eastAsia="標楷體" w:hAnsi="Times New Roman" w:cs="Times New Roman" w:hint="eastAsia"/>
          <w:sz w:val="28"/>
          <w:szCs w:val="28"/>
        </w:rPr>
        <w:t>本計畫已進入工程設計階段，水利署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及台水公司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往後將與環保團體持續溝通交流，以化解歧見，</w:t>
      </w:r>
      <w:proofErr w:type="gramStart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793CDB">
        <w:rPr>
          <w:rFonts w:ascii="Times New Roman" w:eastAsia="標楷體" w:hAnsi="Times New Roman" w:cs="Times New Roman" w:hint="eastAsia"/>
          <w:sz w:val="28"/>
          <w:szCs w:val="28"/>
        </w:rPr>
        <w:t>利計畫推動。</w:t>
      </w:r>
    </w:p>
    <w:p w:rsidR="007B1A6C" w:rsidRPr="00375F69" w:rsidRDefault="007B1A6C"/>
    <w:sectPr w:rsidR="007B1A6C" w:rsidRPr="00375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9"/>
    <w:rsid w:val="00375F69"/>
    <w:rsid w:val="007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69"/>
    <w:pPr>
      <w:ind w:leftChars="200" w:left="480"/>
    </w:pPr>
  </w:style>
  <w:style w:type="table" w:customStyle="1" w:styleId="2">
    <w:name w:val="表格格線2"/>
    <w:basedOn w:val="a1"/>
    <w:next w:val="a4"/>
    <w:uiPriority w:val="59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69"/>
    <w:pPr>
      <w:ind w:leftChars="200" w:left="480"/>
    </w:pPr>
  </w:style>
  <w:style w:type="table" w:customStyle="1" w:styleId="2">
    <w:name w:val="表格格線2"/>
    <w:basedOn w:val="a1"/>
    <w:next w:val="a4"/>
    <w:uiPriority w:val="59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>WRA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2019-05-13T09:14:00Z</dcterms:created>
  <dcterms:modified xsi:type="dcterms:W3CDTF">2019-05-13T09:15:00Z</dcterms:modified>
</cp:coreProperties>
</file>