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53F03" w:rsidRDefault="00481AB0">
      <w:pPr>
        <w:spacing w:line="360" w:lineRule="exact"/>
        <w:jc w:val="center"/>
      </w:pPr>
      <w:r w:rsidRPr="00481AB0">
        <w:rPr>
          <w:rFonts w:ascii="標楷體" w:eastAsia="標楷體" w:hAnsi="標楷體" w:cs="標楷體" w:hint="eastAsia"/>
          <w:b/>
          <w:color w:val="FF0000"/>
          <w:sz w:val="32"/>
        </w:rPr>
        <w:t>○圳○段</w:t>
      </w:r>
      <w:r w:rsidR="008820D2">
        <w:rPr>
          <w:rFonts w:ascii="標楷體" w:eastAsia="標楷體" w:hAnsi="標楷體" w:cs="標楷體" w:hint="eastAsia"/>
          <w:b/>
          <w:color w:val="000000"/>
          <w:sz w:val="32"/>
        </w:rPr>
        <w:t>小水力發電設備建置</w:t>
      </w:r>
    </w:p>
    <w:p w:rsidR="00053F03" w:rsidRDefault="008820D2">
      <w:pPr>
        <w:tabs>
          <w:tab w:val="left" w:pos="0"/>
        </w:tabs>
        <w:snapToGrid w:val="0"/>
        <w:spacing w:before="360" w:after="252" w:line="400" w:lineRule="exact"/>
        <w:ind w:right="-20"/>
        <w:contextualSpacing/>
        <w:jc w:val="center"/>
      </w:pPr>
      <w:r>
        <w:rPr>
          <w:rFonts w:ascii="標楷體" w:eastAsia="標楷體" w:hAnsi="標楷體" w:cs="標楷體" w:hint="eastAsia"/>
          <w:b/>
          <w:color w:val="000000"/>
          <w:sz w:val="32"/>
        </w:rPr>
        <w:t>投標須知</w:t>
      </w:r>
    </w:p>
    <w:p w:rsidR="00053F03" w:rsidRDefault="00481AB0">
      <w:pPr>
        <w:pStyle w:val="a"/>
        <w:numPr>
          <w:ilvl w:val="0"/>
          <w:numId w:val="5"/>
        </w:numPr>
        <w:snapToGrid w:val="0"/>
        <w:spacing w:line="400" w:lineRule="exact"/>
        <w:ind w:left="567" w:right="-23" w:hanging="567"/>
        <w:contextualSpacing/>
        <w:rPr>
          <w:rFonts w:hint="default"/>
        </w:rPr>
      </w:pPr>
      <w:r w:rsidRPr="00481AB0">
        <w:rPr>
          <w:b/>
          <w:color w:val="FF0000"/>
          <w:szCs w:val="24"/>
        </w:rPr>
        <w:t>臺灣○農田水利會</w:t>
      </w:r>
      <w:r w:rsidR="008820D2">
        <w:rPr>
          <w:color w:val="000000"/>
          <w:szCs w:val="24"/>
        </w:rPr>
        <w:t>﹙以下簡稱本</w:t>
      </w:r>
      <w:r>
        <w:rPr>
          <w:color w:val="000000"/>
          <w:szCs w:val="24"/>
        </w:rPr>
        <w:t>會</w:t>
      </w:r>
      <w:r w:rsidR="008820D2">
        <w:rPr>
          <w:rFonts w:hint="default"/>
          <w:color w:val="000000"/>
          <w:szCs w:val="24"/>
        </w:rPr>
        <w:t>﹚為辦理</w:t>
      </w:r>
      <w:r w:rsidR="008820D2">
        <w:rPr>
          <w:color w:val="000000"/>
          <w:szCs w:val="24"/>
        </w:rPr>
        <w:t>「</w:t>
      </w:r>
      <w:r w:rsidRPr="00481AB0">
        <w:rPr>
          <w:b/>
          <w:color w:val="FF0000"/>
          <w:szCs w:val="24"/>
        </w:rPr>
        <w:t>○圳○段</w:t>
      </w:r>
      <w:r w:rsidR="008820D2">
        <w:rPr>
          <w:color w:val="000000"/>
          <w:szCs w:val="24"/>
        </w:rPr>
        <w:t>小水力發電設備建置」案(以下簡稱本案</w:t>
      </w:r>
      <w:r w:rsidR="008820D2">
        <w:rPr>
          <w:rFonts w:hint="default"/>
          <w:color w:val="000000"/>
          <w:szCs w:val="24"/>
        </w:rPr>
        <w:t>)，特訂定本須知。</w:t>
      </w:r>
    </w:p>
    <w:p w:rsidR="00053F03" w:rsidRDefault="008820D2">
      <w:pPr>
        <w:pStyle w:val="a"/>
        <w:numPr>
          <w:ilvl w:val="0"/>
          <w:numId w:val="5"/>
        </w:numPr>
        <w:snapToGrid w:val="0"/>
        <w:spacing w:line="400" w:lineRule="exact"/>
        <w:ind w:left="567" w:right="-23" w:hanging="567"/>
        <w:contextualSpacing/>
        <w:rPr>
          <w:rFonts w:hint="default"/>
        </w:rPr>
      </w:pPr>
      <w:r>
        <w:rPr>
          <w:color w:val="000000"/>
          <w:szCs w:val="24"/>
        </w:rPr>
        <w:t>辦理依據</w:t>
      </w:r>
    </w:p>
    <w:p w:rsidR="00053F03" w:rsidRDefault="008820D2">
      <w:pPr>
        <w:numPr>
          <w:ilvl w:val="0"/>
          <w:numId w:val="10"/>
        </w:numPr>
        <w:snapToGrid w:val="0"/>
        <w:spacing w:line="400" w:lineRule="exact"/>
        <w:jc w:val="both"/>
        <w:textAlignment w:val="baseline"/>
      </w:pPr>
      <w:r>
        <w:rPr>
          <w:rFonts w:ascii="標楷體" w:eastAsia="標楷體" w:hAnsi="標楷體" w:cs="標楷體"/>
          <w:color w:val="000000"/>
          <w:sz w:val="28"/>
        </w:rPr>
        <w:t>電業法</w:t>
      </w:r>
    </w:p>
    <w:p w:rsidR="00053F03" w:rsidRDefault="008820D2">
      <w:pPr>
        <w:numPr>
          <w:ilvl w:val="0"/>
          <w:numId w:val="10"/>
        </w:numPr>
        <w:snapToGrid w:val="0"/>
        <w:spacing w:line="400" w:lineRule="exact"/>
        <w:jc w:val="both"/>
        <w:textAlignment w:val="baseline"/>
      </w:pPr>
      <w:r>
        <w:rPr>
          <w:rFonts w:ascii="標楷體" w:eastAsia="標楷體" w:hAnsi="標楷體" w:cs="標楷體" w:hint="eastAsia"/>
          <w:color w:val="000000"/>
          <w:sz w:val="28"/>
        </w:rPr>
        <w:t>再生能源發展條例</w:t>
      </w:r>
    </w:p>
    <w:p w:rsidR="00053F03" w:rsidRDefault="008820D2">
      <w:pPr>
        <w:numPr>
          <w:ilvl w:val="0"/>
          <w:numId w:val="10"/>
        </w:numPr>
        <w:snapToGrid w:val="0"/>
        <w:spacing w:line="400" w:lineRule="exact"/>
        <w:jc w:val="both"/>
        <w:textAlignment w:val="baseline"/>
      </w:pPr>
      <w:r>
        <w:rPr>
          <w:rFonts w:ascii="標楷體" w:eastAsia="標楷體" w:hAnsi="標楷體" w:cs="標楷體" w:hint="eastAsia"/>
          <w:color w:val="000000"/>
          <w:sz w:val="28"/>
        </w:rPr>
        <w:t>再生能源發電設備設置管理辦法</w:t>
      </w:r>
    </w:p>
    <w:p w:rsidR="00053F03" w:rsidRDefault="008820D2">
      <w:pPr>
        <w:numPr>
          <w:ilvl w:val="0"/>
          <w:numId w:val="10"/>
        </w:numPr>
        <w:snapToGrid w:val="0"/>
        <w:spacing w:line="400" w:lineRule="exact"/>
        <w:jc w:val="both"/>
        <w:textAlignment w:val="baseline"/>
      </w:pPr>
      <w:r>
        <w:rPr>
          <w:rFonts w:ascii="標楷體" w:eastAsia="標楷體" w:hAnsi="標楷體" w:cs="標楷體"/>
          <w:color w:val="000000"/>
          <w:sz w:val="28"/>
        </w:rPr>
        <w:t>水利法</w:t>
      </w:r>
    </w:p>
    <w:p w:rsidR="00053F03" w:rsidRDefault="008820D2">
      <w:pPr>
        <w:numPr>
          <w:ilvl w:val="0"/>
          <w:numId w:val="10"/>
        </w:numPr>
        <w:snapToGrid w:val="0"/>
        <w:spacing w:line="400" w:lineRule="exact"/>
        <w:jc w:val="both"/>
        <w:textAlignment w:val="baseline"/>
      </w:pPr>
      <w:r>
        <w:rPr>
          <w:rFonts w:ascii="標楷體" w:eastAsia="標楷體" w:hAnsi="標楷體" w:cs="標楷體" w:hint="eastAsia"/>
          <w:color w:val="000000"/>
          <w:sz w:val="28"/>
        </w:rPr>
        <w:t>台灣電力股份有限公司再生能源電能收購作業要點</w:t>
      </w:r>
    </w:p>
    <w:p w:rsidR="00053F03" w:rsidRDefault="008820D2">
      <w:pPr>
        <w:numPr>
          <w:ilvl w:val="0"/>
          <w:numId w:val="10"/>
        </w:numPr>
        <w:snapToGrid w:val="0"/>
        <w:spacing w:line="400" w:lineRule="exact"/>
        <w:jc w:val="both"/>
        <w:textAlignment w:val="baseline"/>
      </w:pPr>
      <w:r>
        <w:rPr>
          <w:rFonts w:ascii="標楷體" w:eastAsia="標楷體" w:hAnsi="標楷體" w:cs="標楷體" w:hint="eastAsia"/>
          <w:color w:val="000000"/>
          <w:sz w:val="28"/>
        </w:rPr>
        <w:t>台灣電力股份有限公司再生能源發電系統併聯技術要點</w:t>
      </w:r>
    </w:p>
    <w:p w:rsidR="00053F03" w:rsidRDefault="008820D2">
      <w:pPr>
        <w:pStyle w:val="a"/>
        <w:numPr>
          <w:ilvl w:val="0"/>
          <w:numId w:val="5"/>
        </w:numPr>
        <w:snapToGrid w:val="0"/>
        <w:spacing w:line="400" w:lineRule="exact"/>
        <w:ind w:left="561" w:hanging="561"/>
        <w:contextualSpacing/>
        <w:rPr>
          <w:rFonts w:hint="default"/>
        </w:rPr>
      </w:pPr>
      <w:r>
        <w:rPr>
          <w:rFonts w:ascii="Times New Roman" w:hAnsi="Times New Roman" w:cs="Times New Roman" w:hint="default"/>
          <w:color w:val="000000"/>
          <w:szCs w:val="28"/>
        </w:rPr>
        <w:t>標租範圍：</w:t>
      </w:r>
    </w:p>
    <w:p w:rsidR="00053F03" w:rsidRDefault="00481AB0">
      <w:pPr>
        <w:numPr>
          <w:ilvl w:val="0"/>
          <w:numId w:val="22"/>
        </w:numPr>
        <w:snapToGrid w:val="0"/>
        <w:spacing w:line="400" w:lineRule="exact"/>
        <w:jc w:val="both"/>
        <w:textAlignment w:val="baseline"/>
      </w:pPr>
      <w:r w:rsidRPr="00481AB0">
        <w:rPr>
          <w:rFonts w:ascii="標楷體" w:eastAsia="標楷體" w:hAnsi="標楷體" w:cs="標楷體" w:hint="eastAsia"/>
          <w:color w:val="FF0000"/>
          <w:sz w:val="28"/>
        </w:rPr>
        <w:t>○圳○段渠道寬度約○公尺、</w:t>
      </w:r>
      <w:r w:rsidR="008820D2" w:rsidRPr="00481AB0">
        <w:rPr>
          <w:rFonts w:ascii="標楷體" w:eastAsia="標楷體" w:hAnsi="標楷體" w:cs="標楷體" w:hint="eastAsia"/>
          <w:color w:val="FF0000"/>
          <w:sz w:val="28"/>
        </w:rPr>
        <w:t>設施長度約</w:t>
      </w:r>
      <w:r w:rsidRPr="00481AB0">
        <w:rPr>
          <w:rFonts w:ascii="標楷體" w:eastAsia="標楷體" w:hAnsi="標楷體" w:cs="標楷體" w:hint="eastAsia"/>
          <w:color w:val="FF0000"/>
          <w:sz w:val="28"/>
        </w:rPr>
        <w:t>○</w:t>
      </w:r>
      <w:r w:rsidR="008820D2" w:rsidRPr="00481AB0">
        <w:rPr>
          <w:rFonts w:ascii="標楷體" w:eastAsia="標楷體" w:hAnsi="標楷體" w:cs="標楷體" w:hint="eastAsia"/>
          <w:color w:val="FF0000"/>
          <w:sz w:val="28"/>
        </w:rPr>
        <w:t>公尺，</w:t>
      </w:r>
      <w:r w:rsidRPr="00481AB0">
        <w:rPr>
          <w:rFonts w:ascii="標楷體" w:eastAsia="標楷體" w:hAnsi="標楷體" w:cs="標楷體" w:hint="eastAsia"/>
          <w:color w:val="FF0000"/>
          <w:sz w:val="28"/>
        </w:rPr>
        <w:t>土地座落於○縣○鄉○段○地號等○筆土地</w:t>
      </w:r>
      <w:r>
        <w:rPr>
          <w:rFonts w:ascii="標楷體" w:eastAsia="標楷體" w:hAnsi="標楷體" w:cs="標楷體" w:hint="eastAsia"/>
          <w:color w:val="000000"/>
          <w:sz w:val="28"/>
        </w:rPr>
        <w:t>，</w:t>
      </w:r>
      <w:r w:rsidR="008820D2">
        <w:rPr>
          <w:rFonts w:eastAsia="標楷體" w:cs="標楷體"/>
          <w:color w:val="000000"/>
          <w:sz w:val="28"/>
          <w:szCs w:val="28"/>
        </w:rPr>
        <w:t>詳租賃標的清冊</w:t>
      </w:r>
      <w:r w:rsidR="008820D2">
        <w:rPr>
          <w:rFonts w:eastAsia="標楷體"/>
          <w:color w:val="000000"/>
          <w:sz w:val="28"/>
          <w:szCs w:val="28"/>
        </w:rPr>
        <w:t>(</w:t>
      </w:r>
      <w:r w:rsidR="008820D2">
        <w:rPr>
          <w:rFonts w:eastAsia="標楷體" w:cs="標楷體"/>
          <w:color w:val="000000"/>
          <w:sz w:val="28"/>
          <w:szCs w:val="28"/>
        </w:rPr>
        <w:t>附件</w:t>
      </w:r>
      <w:r w:rsidR="008820D2">
        <w:rPr>
          <w:rFonts w:eastAsia="標楷體"/>
          <w:color w:val="000000"/>
          <w:sz w:val="28"/>
          <w:szCs w:val="28"/>
        </w:rPr>
        <w:t>1)</w:t>
      </w:r>
      <w:r w:rsidR="0037413E">
        <w:rPr>
          <w:rFonts w:eastAsia="標楷體" w:hint="eastAsia"/>
          <w:color w:val="000000"/>
          <w:sz w:val="28"/>
          <w:szCs w:val="28"/>
        </w:rPr>
        <w:t>，並以</w:t>
      </w:r>
      <w:r w:rsidR="0037413E">
        <w:rPr>
          <w:rFonts w:eastAsia="標楷體" w:cs="標楷體" w:hint="eastAsia"/>
          <w:color w:val="000000"/>
          <w:sz w:val="28"/>
          <w:szCs w:val="28"/>
        </w:rPr>
        <w:t>租用土地面積計算承租面積</w:t>
      </w:r>
      <w:r w:rsidR="008820D2">
        <w:rPr>
          <w:rFonts w:eastAsia="標楷體" w:cs="標楷體"/>
          <w:color w:val="000000"/>
          <w:sz w:val="28"/>
          <w:szCs w:val="28"/>
        </w:rPr>
        <w:t>。</w:t>
      </w:r>
    </w:p>
    <w:p w:rsidR="00053F03" w:rsidRDefault="008820D2">
      <w:pPr>
        <w:numPr>
          <w:ilvl w:val="0"/>
          <w:numId w:val="22"/>
        </w:numPr>
        <w:snapToGrid w:val="0"/>
        <w:spacing w:line="400" w:lineRule="exact"/>
        <w:jc w:val="both"/>
        <w:textAlignment w:val="baseline"/>
      </w:pPr>
      <w:r>
        <w:rPr>
          <w:rFonts w:eastAsia="標楷體" w:cs="標楷體"/>
          <w:color w:val="000000"/>
          <w:sz w:val="28"/>
          <w:szCs w:val="28"/>
        </w:rPr>
        <w:t>租賃標的清冊之現況由投標廠商於投標前自行赴現場勘察，瞭解租賃標的之現況，並應詳閱本須知及相關附件。投標、開標或得標後不得以任何理由提出抗辯。</w:t>
      </w:r>
    </w:p>
    <w:p w:rsidR="00053F03" w:rsidRDefault="00481AB0">
      <w:pPr>
        <w:numPr>
          <w:ilvl w:val="0"/>
          <w:numId w:val="22"/>
        </w:numPr>
        <w:snapToGrid w:val="0"/>
        <w:spacing w:line="400" w:lineRule="exact"/>
        <w:jc w:val="both"/>
        <w:textAlignment w:val="baseline"/>
      </w:pPr>
      <w:r>
        <w:rPr>
          <w:rFonts w:eastAsia="標楷體" w:cs="標楷體" w:hint="eastAsia"/>
          <w:color w:val="000000"/>
          <w:sz w:val="28"/>
          <w:szCs w:val="28"/>
        </w:rPr>
        <w:t>所設置之</w:t>
      </w:r>
      <w:r w:rsidR="008820D2">
        <w:rPr>
          <w:rFonts w:eastAsia="標楷體" w:cs="標楷體" w:hint="eastAsia"/>
          <w:color w:val="000000"/>
          <w:sz w:val="28"/>
          <w:szCs w:val="28"/>
        </w:rPr>
        <w:t>發電設備、輸電線路及相關附屬設施</w:t>
      </w:r>
      <w:r>
        <w:rPr>
          <w:rFonts w:eastAsia="標楷體" w:cs="標楷體" w:hint="eastAsia"/>
          <w:color w:val="000000"/>
          <w:sz w:val="28"/>
          <w:szCs w:val="28"/>
        </w:rPr>
        <w:t>如超出</w:t>
      </w:r>
      <w:r w:rsidR="008820D2">
        <w:rPr>
          <w:rFonts w:eastAsia="標楷體" w:cs="標楷體" w:hint="eastAsia"/>
          <w:color w:val="000000"/>
          <w:sz w:val="28"/>
          <w:szCs w:val="28"/>
        </w:rPr>
        <w:t>租賃標的清冊所列之土地範圍，</w:t>
      </w:r>
      <w:r w:rsidR="0037413E">
        <w:rPr>
          <w:rFonts w:eastAsia="標楷體" w:cs="標楷體" w:hint="eastAsia"/>
          <w:color w:val="000000"/>
          <w:sz w:val="28"/>
          <w:szCs w:val="28"/>
        </w:rPr>
        <w:t>須由廠商自行向該土地所有權人取得同意，本會不負相關協商責任</w:t>
      </w:r>
      <w:r w:rsidR="008820D2">
        <w:rPr>
          <w:rFonts w:eastAsia="標楷體" w:cs="標楷體" w:hint="eastAsia"/>
          <w:color w:val="000000"/>
          <w:sz w:val="28"/>
          <w:szCs w:val="28"/>
        </w:rPr>
        <w:t>。</w:t>
      </w:r>
    </w:p>
    <w:p w:rsidR="00053F03" w:rsidRDefault="008820D2">
      <w:pPr>
        <w:numPr>
          <w:ilvl w:val="0"/>
          <w:numId w:val="22"/>
        </w:numPr>
        <w:snapToGrid w:val="0"/>
        <w:spacing w:line="400" w:lineRule="exact"/>
        <w:jc w:val="both"/>
        <w:textAlignment w:val="baseline"/>
      </w:pPr>
      <w:r>
        <w:rPr>
          <w:rFonts w:eastAsia="標楷體" w:cs="標楷體"/>
          <w:color w:val="000000"/>
          <w:sz w:val="28"/>
          <w:szCs w:val="28"/>
        </w:rPr>
        <w:t>凡參與投標者，均視為已對租賃標的現況及投標各項文件規定與內容確實瞭解，並同意遵守。</w:t>
      </w:r>
    </w:p>
    <w:p w:rsidR="00053F03" w:rsidRDefault="00073DED">
      <w:pPr>
        <w:numPr>
          <w:ilvl w:val="0"/>
          <w:numId w:val="22"/>
        </w:numPr>
        <w:snapToGrid w:val="0"/>
        <w:spacing w:line="400" w:lineRule="exact"/>
        <w:jc w:val="both"/>
        <w:textAlignment w:val="baseline"/>
      </w:pPr>
      <w:r>
        <w:rPr>
          <w:rFonts w:eastAsia="標楷體" w:cs="標楷體" w:hint="eastAsia"/>
          <w:color w:val="000000"/>
          <w:sz w:val="28"/>
          <w:szCs w:val="28"/>
        </w:rPr>
        <w:t>廠商所申請設置之</w:t>
      </w:r>
      <w:r w:rsidR="008820D2">
        <w:rPr>
          <w:rFonts w:eastAsia="標楷體" w:cs="標楷體" w:hint="eastAsia"/>
          <w:color w:val="000000"/>
          <w:sz w:val="28"/>
          <w:szCs w:val="28"/>
        </w:rPr>
        <w:t>小水力發電設備，其規劃設計、採購、施工安裝及職業安全衛生管理，與發電設備之運轉、維護、安全管理、損壞修復、發電設備所衍生之風險及稅捐等一切事項，概由廠商負責。</w:t>
      </w:r>
    </w:p>
    <w:p w:rsidR="00053F03" w:rsidRDefault="008820D2">
      <w:pPr>
        <w:numPr>
          <w:ilvl w:val="0"/>
          <w:numId w:val="22"/>
        </w:numPr>
        <w:snapToGrid w:val="0"/>
        <w:spacing w:line="400" w:lineRule="exact"/>
        <w:jc w:val="both"/>
        <w:textAlignment w:val="baseline"/>
      </w:pPr>
      <w:r>
        <w:rPr>
          <w:rFonts w:eastAsia="標楷體" w:cs="標楷體" w:hint="eastAsia"/>
          <w:color w:val="000000"/>
          <w:sz w:val="28"/>
          <w:szCs w:val="28"/>
        </w:rPr>
        <w:t>本案標租之土地其使用分區為</w:t>
      </w:r>
      <w:r w:rsidR="0037413E">
        <w:rPr>
          <w:rFonts w:eastAsia="標楷體" w:cs="標楷體" w:hint="eastAsia"/>
          <w:color w:val="000000"/>
          <w:sz w:val="28"/>
          <w:szCs w:val="28"/>
        </w:rPr>
        <w:t>○</w:t>
      </w:r>
      <w:r>
        <w:rPr>
          <w:rFonts w:eastAsia="標楷體" w:cs="標楷體" w:hint="eastAsia"/>
          <w:color w:val="000000"/>
          <w:sz w:val="28"/>
          <w:szCs w:val="28"/>
        </w:rPr>
        <w:t>區</w:t>
      </w:r>
      <w:r w:rsidR="0037413E">
        <w:rPr>
          <w:rFonts w:eastAsia="標楷體" w:cs="標楷體" w:hint="eastAsia"/>
          <w:color w:val="000000"/>
          <w:sz w:val="28"/>
          <w:szCs w:val="28"/>
        </w:rPr>
        <w:t>○</w:t>
      </w:r>
      <w:r>
        <w:rPr>
          <w:rFonts w:eastAsia="標楷體" w:cs="標楷體" w:hint="eastAsia"/>
          <w:color w:val="000000"/>
          <w:sz w:val="28"/>
          <w:szCs w:val="28"/>
        </w:rPr>
        <w:t>用地</w:t>
      </w:r>
      <w:r w:rsidR="0037413E">
        <w:rPr>
          <w:rFonts w:eastAsia="標楷體" w:cs="標楷體" w:hint="eastAsia"/>
          <w:color w:val="000000"/>
          <w:sz w:val="28"/>
          <w:szCs w:val="28"/>
        </w:rPr>
        <w:t>，相關土地容許事宜，</w:t>
      </w:r>
      <w:r>
        <w:rPr>
          <w:rFonts w:eastAsia="標楷體" w:cs="標楷體" w:hint="eastAsia"/>
          <w:color w:val="000000"/>
          <w:sz w:val="28"/>
          <w:szCs w:val="28"/>
        </w:rPr>
        <w:t>由得標廠商為申請人，</w:t>
      </w:r>
      <w:r w:rsidR="0037413E">
        <w:rPr>
          <w:rFonts w:eastAsia="標楷體" w:cs="標楷體" w:hint="eastAsia"/>
          <w:color w:val="000000"/>
          <w:sz w:val="28"/>
          <w:szCs w:val="28"/>
        </w:rPr>
        <w:t>自行向相關單位申請，</w:t>
      </w:r>
      <w:r>
        <w:rPr>
          <w:rFonts w:eastAsia="標楷體" w:cs="標楷體" w:hint="eastAsia"/>
          <w:color w:val="000000"/>
          <w:sz w:val="28"/>
          <w:szCs w:val="28"/>
        </w:rPr>
        <w:t>如依相關規定辦理申請使用需繳納任何費用，概由廠商自行負責。</w:t>
      </w:r>
    </w:p>
    <w:p w:rsidR="00053F03" w:rsidRDefault="008820D2">
      <w:pPr>
        <w:pStyle w:val="a"/>
        <w:numPr>
          <w:ilvl w:val="0"/>
          <w:numId w:val="5"/>
        </w:numPr>
        <w:snapToGrid w:val="0"/>
        <w:spacing w:line="400" w:lineRule="exact"/>
        <w:ind w:left="561" w:hanging="561"/>
        <w:contextualSpacing/>
        <w:rPr>
          <w:rFonts w:hint="default"/>
        </w:rPr>
      </w:pPr>
      <w:r>
        <w:rPr>
          <w:rFonts w:ascii="Times New Roman" w:hAnsi="Times New Roman" w:cs="Times New Roman"/>
          <w:color w:val="000000"/>
          <w:szCs w:val="28"/>
        </w:rPr>
        <w:t>裝置</w:t>
      </w:r>
      <w:r>
        <w:rPr>
          <w:color w:val="000000"/>
        </w:rPr>
        <w:t>容量:</w:t>
      </w:r>
    </w:p>
    <w:p w:rsidR="007C7B03" w:rsidRPr="007C7B03" w:rsidRDefault="007C7B03">
      <w:pPr>
        <w:numPr>
          <w:ilvl w:val="0"/>
          <w:numId w:val="24"/>
        </w:numPr>
        <w:snapToGrid w:val="0"/>
        <w:spacing w:line="400" w:lineRule="exact"/>
        <w:jc w:val="both"/>
        <w:textAlignment w:val="baseline"/>
      </w:pPr>
      <w:r w:rsidRPr="00167D15">
        <w:rPr>
          <w:rFonts w:ascii="標楷體" w:eastAsia="標楷體" w:hAnsi="標楷體" w:cs="標楷體" w:hint="eastAsia"/>
          <w:color w:val="FF0000"/>
          <w:sz w:val="28"/>
          <w:szCs w:val="20"/>
        </w:rPr>
        <w:t>本案○圳○段圳路本會所獲得之水權為○</w:t>
      </w:r>
      <w:r w:rsidR="00DF74A5">
        <w:rPr>
          <w:rFonts w:ascii="標楷體" w:eastAsia="標楷體" w:hAnsi="標楷體" w:cs="標楷體" w:hint="eastAsia"/>
          <w:color w:val="FF0000"/>
          <w:sz w:val="28"/>
          <w:szCs w:val="20"/>
        </w:rPr>
        <w:t>，水權屆期即依水利法</w:t>
      </w:r>
      <w:bookmarkStart w:id="0" w:name="_GoBack"/>
      <w:bookmarkEnd w:id="0"/>
      <w:r w:rsidR="00DF74A5">
        <w:rPr>
          <w:rFonts w:ascii="標楷體" w:eastAsia="標楷體" w:hAnsi="標楷體" w:cs="標楷體" w:hint="eastAsia"/>
          <w:color w:val="FF0000"/>
          <w:sz w:val="28"/>
          <w:szCs w:val="20"/>
        </w:rPr>
        <w:t>申請展限</w:t>
      </w:r>
      <w:r w:rsidRPr="00167D15">
        <w:rPr>
          <w:rFonts w:ascii="標楷體" w:eastAsia="標楷體" w:hAnsi="標楷體" w:cs="標楷體" w:hint="eastAsia"/>
          <w:color w:val="FF0000"/>
          <w:sz w:val="28"/>
          <w:szCs w:val="20"/>
        </w:rPr>
        <w:t>，近5年(○~○年)流量資料詳附件3。</w:t>
      </w:r>
    </w:p>
    <w:p w:rsidR="00053F03" w:rsidRDefault="008820D2">
      <w:pPr>
        <w:numPr>
          <w:ilvl w:val="0"/>
          <w:numId w:val="24"/>
        </w:numPr>
        <w:snapToGrid w:val="0"/>
        <w:spacing w:line="400" w:lineRule="exact"/>
        <w:jc w:val="both"/>
        <w:textAlignment w:val="baseline"/>
      </w:pPr>
      <w:r>
        <w:rPr>
          <w:rFonts w:ascii="標楷體" w:eastAsia="標楷體" w:hAnsi="標楷體" w:cs="標楷體" w:hint="eastAsia"/>
          <w:color w:val="000000"/>
          <w:sz w:val="28"/>
          <w:szCs w:val="20"/>
        </w:rPr>
        <w:t>本案不訂定最低發電設備裝置容量，請投標廠商</w:t>
      </w:r>
      <w:r w:rsidR="007C7B03">
        <w:rPr>
          <w:rFonts w:ascii="標楷體" w:eastAsia="標楷體" w:hAnsi="標楷體" w:cs="標楷體" w:hint="eastAsia"/>
          <w:color w:val="000000"/>
          <w:sz w:val="28"/>
          <w:szCs w:val="20"/>
        </w:rPr>
        <w:t>自行</w:t>
      </w:r>
      <w:r>
        <w:rPr>
          <w:rFonts w:ascii="標楷體" w:eastAsia="標楷體" w:hAnsi="標楷體" w:cs="標楷體" w:hint="eastAsia"/>
          <w:color w:val="000000"/>
          <w:sz w:val="28"/>
          <w:szCs w:val="20"/>
        </w:rPr>
        <w:t>評估</w:t>
      </w:r>
      <w:r w:rsidR="007C7B03">
        <w:rPr>
          <w:rFonts w:ascii="標楷體" w:eastAsia="標楷體" w:hAnsi="標楷體" w:cs="標楷體" w:hint="eastAsia"/>
          <w:color w:val="000000"/>
          <w:sz w:val="28"/>
          <w:szCs w:val="20"/>
        </w:rPr>
        <w:t>本案</w:t>
      </w:r>
      <w:r w:rsidR="007C7B03">
        <w:rPr>
          <w:rFonts w:ascii="標楷體" w:eastAsia="標楷體" w:hAnsi="標楷體" w:cs="標楷體" w:hint="eastAsia"/>
          <w:color w:val="000000"/>
          <w:sz w:val="28"/>
          <w:szCs w:val="20"/>
        </w:rPr>
        <w:lastRenderedPageBreak/>
        <w:t>小</w:t>
      </w:r>
      <w:r>
        <w:rPr>
          <w:rFonts w:ascii="標楷體" w:eastAsia="標楷體" w:hAnsi="標楷體" w:cs="標楷體" w:hint="eastAsia"/>
          <w:color w:val="000000"/>
          <w:sz w:val="28"/>
          <w:szCs w:val="20"/>
        </w:rPr>
        <w:t>水力發電潛能及風險，決定</w:t>
      </w:r>
      <w:r>
        <w:rPr>
          <w:rFonts w:ascii="標楷體" w:eastAsia="標楷體" w:hAnsi="標楷體" w:cs="標楷體"/>
          <w:color w:val="000000"/>
          <w:sz w:val="28"/>
          <w:szCs w:val="20"/>
        </w:rPr>
        <w:t>合理之</w:t>
      </w:r>
      <w:r>
        <w:rPr>
          <w:rFonts w:ascii="標楷體" w:eastAsia="標楷體" w:hAnsi="標楷體" w:cs="標楷體" w:hint="eastAsia"/>
          <w:color w:val="000000"/>
          <w:sz w:val="28"/>
          <w:szCs w:val="20"/>
        </w:rPr>
        <w:t>裝置容量及機組型式，所投標之設備裝置容量為本案之系統裝置容量。</w:t>
      </w:r>
    </w:p>
    <w:p w:rsidR="00053F03" w:rsidRDefault="008820D2">
      <w:pPr>
        <w:numPr>
          <w:ilvl w:val="0"/>
          <w:numId w:val="24"/>
        </w:numPr>
        <w:snapToGrid w:val="0"/>
        <w:spacing w:line="400" w:lineRule="exact"/>
        <w:jc w:val="both"/>
        <w:textAlignment w:val="baseline"/>
      </w:pPr>
      <w:r>
        <w:rPr>
          <w:rFonts w:ascii="標楷體" w:eastAsia="標楷體" w:hAnsi="標楷體" w:cs="標楷體" w:hint="eastAsia"/>
          <w:color w:val="000000"/>
          <w:sz w:val="28"/>
          <w:szCs w:val="20"/>
        </w:rPr>
        <w:t>本案送交能源局設備登記同意備案、併聯審查及與台電簽約併聯之發電設備均以得標廠商為申請人，本</w:t>
      </w:r>
      <w:r w:rsidR="007C7B03">
        <w:rPr>
          <w:rFonts w:ascii="標楷體" w:eastAsia="標楷體" w:hAnsi="標楷體" w:cs="標楷體" w:hint="eastAsia"/>
          <w:color w:val="000000"/>
          <w:sz w:val="28"/>
          <w:szCs w:val="20"/>
        </w:rPr>
        <w:t>會</w:t>
      </w:r>
      <w:r>
        <w:rPr>
          <w:rFonts w:ascii="標楷體" w:eastAsia="標楷體" w:hAnsi="標楷體" w:cs="標楷體" w:hint="eastAsia"/>
          <w:color w:val="000000"/>
          <w:sz w:val="28"/>
          <w:szCs w:val="20"/>
        </w:rPr>
        <w:t>配合提供設置場地及同意使用相關文件。</w:t>
      </w:r>
    </w:p>
    <w:p w:rsidR="00053F03" w:rsidRDefault="008820D2">
      <w:pPr>
        <w:numPr>
          <w:ilvl w:val="0"/>
          <w:numId w:val="24"/>
        </w:numPr>
        <w:snapToGrid w:val="0"/>
        <w:spacing w:line="400" w:lineRule="exact"/>
        <w:jc w:val="both"/>
        <w:textAlignment w:val="baseline"/>
      </w:pPr>
      <w:r>
        <w:rPr>
          <w:rFonts w:ascii="標楷體" w:eastAsia="標楷體" w:hAnsi="標楷體" w:cs="標楷體" w:hint="eastAsia"/>
          <w:color w:val="000000"/>
          <w:sz w:val="28"/>
          <w:szCs w:val="20"/>
        </w:rPr>
        <w:t>本案由</w:t>
      </w:r>
      <w:r>
        <w:rPr>
          <w:rFonts w:ascii="標楷體" w:eastAsia="標楷體" w:hAnsi="標楷體" w:cs="標楷體"/>
          <w:color w:val="000000"/>
          <w:sz w:val="28"/>
          <w:szCs w:val="20"/>
        </w:rPr>
        <w:t>得標</w:t>
      </w:r>
      <w:r>
        <w:rPr>
          <w:rFonts w:ascii="標楷體" w:eastAsia="標楷體" w:hAnsi="標楷體" w:cs="標楷體" w:hint="eastAsia"/>
          <w:color w:val="000000"/>
          <w:sz w:val="28"/>
          <w:szCs w:val="20"/>
        </w:rPr>
        <w:t>廠商向台電申請併聯作業，其併聯所需相關線路配置與費用等需由</w:t>
      </w:r>
      <w:r w:rsidR="007C7B03">
        <w:rPr>
          <w:rFonts w:ascii="標楷體" w:eastAsia="標楷體" w:hAnsi="標楷體" w:cs="標楷體" w:hint="eastAsia"/>
          <w:color w:val="000000"/>
          <w:sz w:val="28"/>
          <w:szCs w:val="20"/>
        </w:rPr>
        <w:t>得標</w:t>
      </w:r>
      <w:r>
        <w:rPr>
          <w:rFonts w:ascii="標楷體" w:eastAsia="標楷體" w:hAnsi="標楷體" w:cs="標楷體" w:hint="eastAsia"/>
          <w:color w:val="000000"/>
          <w:sz w:val="28"/>
          <w:szCs w:val="20"/>
        </w:rPr>
        <w:t>廠商自行負擔。</w:t>
      </w:r>
    </w:p>
    <w:p w:rsidR="00053F03" w:rsidRDefault="008820D2">
      <w:pPr>
        <w:pStyle w:val="a"/>
        <w:numPr>
          <w:ilvl w:val="0"/>
          <w:numId w:val="5"/>
        </w:numPr>
        <w:snapToGrid w:val="0"/>
        <w:spacing w:line="400" w:lineRule="exact"/>
        <w:ind w:left="561" w:hanging="561"/>
        <w:contextualSpacing/>
        <w:rPr>
          <w:rFonts w:hint="default"/>
        </w:rPr>
      </w:pPr>
      <w:r>
        <w:rPr>
          <w:rFonts w:ascii="Times New Roman" w:hAnsi="Times New Roman" w:cs="Times New Roman"/>
          <w:color w:val="000000"/>
          <w:szCs w:val="28"/>
        </w:rPr>
        <w:t>發電設備建置與</w:t>
      </w:r>
      <w:r w:rsidR="00A70F92" w:rsidRPr="00A70F92">
        <w:rPr>
          <w:rFonts w:ascii="Times New Roman" w:hAnsi="Times New Roman" w:cs="Times New Roman"/>
          <w:color w:val="FF0000"/>
          <w:szCs w:val="28"/>
        </w:rPr>
        <w:t>○圳○段</w:t>
      </w:r>
      <w:r w:rsidR="00A70F92">
        <w:rPr>
          <w:rFonts w:ascii="Times New Roman" w:hAnsi="Times New Roman" w:cs="Times New Roman"/>
          <w:color w:val="000000"/>
          <w:szCs w:val="28"/>
        </w:rPr>
        <w:t>圳</w:t>
      </w:r>
      <w:r>
        <w:rPr>
          <w:color w:val="000000"/>
          <w:szCs w:val="28"/>
        </w:rPr>
        <w:t>路</w:t>
      </w:r>
      <w:r>
        <w:rPr>
          <w:rFonts w:ascii="Times New Roman" w:hAnsi="Times New Roman" w:cs="Times New Roman"/>
          <w:color w:val="000000"/>
          <w:szCs w:val="28"/>
        </w:rPr>
        <w:t>使用規定</w:t>
      </w:r>
    </w:p>
    <w:p w:rsidR="00053F03" w:rsidRDefault="00A70F92">
      <w:pPr>
        <w:numPr>
          <w:ilvl w:val="0"/>
          <w:numId w:val="23"/>
        </w:numPr>
        <w:snapToGrid w:val="0"/>
        <w:spacing w:line="400" w:lineRule="exact"/>
        <w:jc w:val="both"/>
        <w:textAlignment w:val="baseline"/>
      </w:pPr>
      <w:r>
        <w:rPr>
          <w:rFonts w:ascii="標楷體" w:eastAsia="標楷體" w:hAnsi="標楷體" w:cs="標楷體" w:hint="eastAsia"/>
          <w:color w:val="000000"/>
          <w:sz w:val="28"/>
          <w:szCs w:val="20"/>
        </w:rPr>
        <w:t>廠商於規劃設計小</w:t>
      </w:r>
      <w:r w:rsidR="008820D2">
        <w:rPr>
          <w:rFonts w:ascii="標楷體" w:eastAsia="標楷體" w:hAnsi="標楷體" w:cs="標楷體" w:hint="eastAsia"/>
          <w:color w:val="000000"/>
          <w:sz w:val="28"/>
          <w:szCs w:val="20"/>
        </w:rPr>
        <w:t>水力發電設備時，須優先</w:t>
      </w:r>
      <w:r>
        <w:rPr>
          <w:rFonts w:ascii="標楷體" w:eastAsia="標楷體" w:hAnsi="標楷體" w:cs="標楷體" w:hint="eastAsia"/>
          <w:color w:val="000000"/>
          <w:sz w:val="28"/>
          <w:szCs w:val="20"/>
        </w:rPr>
        <w:t>考慮</w:t>
      </w:r>
      <w:r w:rsidRPr="00A70F92">
        <w:rPr>
          <w:rFonts w:ascii="標楷體" w:eastAsia="標楷體" w:hAnsi="標楷體" w:cs="標楷體" w:hint="eastAsia"/>
          <w:color w:val="FF0000"/>
          <w:sz w:val="28"/>
          <w:szCs w:val="20"/>
        </w:rPr>
        <w:t>本案○圳○段</w:t>
      </w:r>
      <w:r w:rsidR="008820D2">
        <w:rPr>
          <w:rFonts w:ascii="標楷體" w:eastAsia="標楷體" w:hAnsi="標楷體" w:cs="標楷體" w:hint="eastAsia"/>
          <w:color w:val="000000"/>
          <w:sz w:val="28"/>
          <w:szCs w:val="20"/>
        </w:rPr>
        <w:t>輸水效益與安全，其發電及相關設備架設安裝後不影響</w:t>
      </w:r>
      <w:r>
        <w:rPr>
          <w:rFonts w:ascii="標楷體" w:eastAsia="標楷體" w:hAnsi="標楷體" w:cs="標楷體" w:hint="eastAsia"/>
          <w:color w:val="000000"/>
          <w:sz w:val="28"/>
          <w:szCs w:val="20"/>
        </w:rPr>
        <w:t>圳</w:t>
      </w:r>
      <w:r w:rsidR="008820D2">
        <w:rPr>
          <w:rFonts w:ascii="標楷體" w:eastAsia="標楷體" w:hAnsi="標楷體" w:cs="標楷體" w:hint="eastAsia"/>
          <w:color w:val="000000"/>
          <w:sz w:val="28"/>
          <w:szCs w:val="20"/>
        </w:rPr>
        <w:t>路設施輸水功能與安全(本案</w:t>
      </w:r>
      <w:r>
        <w:rPr>
          <w:rFonts w:ascii="標楷體" w:eastAsia="標楷體" w:hAnsi="標楷體" w:cs="標楷體" w:hint="eastAsia"/>
          <w:color w:val="000000"/>
          <w:sz w:val="28"/>
          <w:szCs w:val="20"/>
        </w:rPr>
        <w:t>圳</w:t>
      </w:r>
      <w:r w:rsidR="008820D2">
        <w:rPr>
          <w:rFonts w:ascii="標楷體" w:eastAsia="標楷體" w:hAnsi="標楷體" w:cs="標楷體" w:hint="eastAsia"/>
          <w:color w:val="000000"/>
          <w:sz w:val="28"/>
          <w:szCs w:val="20"/>
        </w:rPr>
        <w:t>路設施</w:t>
      </w:r>
      <w:r w:rsidR="008820D2">
        <w:rPr>
          <w:rFonts w:ascii="標楷體" w:eastAsia="標楷體" w:hAnsi="標楷體" w:cs="標楷體"/>
          <w:color w:val="000000"/>
          <w:sz w:val="28"/>
          <w:szCs w:val="20"/>
        </w:rPr>
        <w:t>圖詳附件</w:t>
      </w:r>
      <w:r w:rsidR="008820D2">
        <w:rPr>
          <w:rFonts w:ascii="標楷體" w:eastAsia="標楷體" w:hAnsi="標楷體" w:cs="標楷體" w:hint="eastAsia"/>
          <w:color w:val="000000"/>
          <w:sz w:val="28"/>
          <w:szCs w:val="20"/>
        </w:rPr>
        <w:t>2)，應於投標之「設置使用計畫書」相關章節內敘明設備架設之詳細規劃及安全性、機組</w:t>
      </w:r>
      <w:r w:rsidR="008820D2">
        <w:rPr>
          <w:rFonts w:ascii="標楷體" w:eastAsia="標楷體" w:hAnsi="標楷體" w:cs="標楷體"/>
          <w:color w:val="000000"/>
          <w:sz w:val="28"/>
          <w:szCs w:val="20"/>
        </w:rPr>
        <w:t>運轉</w:t>
      </w:r>
      <w:r w:rsidR="008820D2">
        <w:rPr>
          <w:rFonts w:ascii="標楷體" w:eastAsia="標楷體" w:hAnsi="標楷體" w:cs="標楷體" w:hint="eastAsia"/>
          <w:color w:val="000000"/>
          <w:sz w:val="28"/>
          <w:szCs w:val="20"/>
        </w:rPr>
        <w:t>(含操作儀控設備型式)</w:t>
      </w:r>
      <w:r w:rsidR="008820D2">
        <w:rPr>
          <w:rFonts w:ascii="標楷體" w:eastAsia="標楷體" w:hAnsi="標楷體" w:cs="標楷體"/>
          <w:color w:val="000000"/>
          <w:sz w:val="28"/>
          <w:szCs w:val="20"/>
        </w:rPr>
        <w:t>與</w:t>
      </w:r>
      <w:r w:rsidR="008820D2">
        <w:rPr>
          <w:rFonts w:ascii="標楷體" w:eastAsia="標楷體" w:hAnsi="標楷體" w:cs="標楷體" w:hint="eastAsia"/>
          <w:color w:val="000000"/>
          <w:sz w:val="28"/>
          <w:szCs w:val="20"/>
        </w:rPr>
        <w:t>安全維護管理檢修及緊急吊(抬)離措施等規劃內容。</w:t>
      </w:r>
    </w:p>
    <w:p w:rsidR="00053F03" w:rsidRDefault="007B5E46">
      <w:pPr>
        <w:numPr>
          <w:ilvl w:val="0"/>
          <w:numId w:val="23"/>
        </w:numPr>
        <w:snapToGrid w:val="0"/>
        <w:spacing w:line="400" w:lineRule="exact"/>
        <w:jc w:val="both"/>
        <w:textAlignment w:val="baseline"/>
      </w:pPr>
      <w:r>
        <w:rPr>
          <w:rFonts w:ascii="標楷體" w:eastAsia="標楷體" w:hAnsi="標楷體" w:cs="標楷體" w:hint="eastAsia"/>
          <w:color w:val="000000"/>
          <w:sz w:val="28"/>
          <w:szCs w:val="20"/>
        </w:rPr>
        <w:t>在</w:t>
      </w:r>
      <w:r w:rsidRPr="007B5E46">
        <w:rPr>
          <w:rFonts w:ascii="標楷體" w:eastAsia="標楷體" w:hAnsi="標楷體" w:cs="標楷體" w:hint="eastAsia"/>
          <w:color w:val="FF0000"/>
          <w:sz w:val="28"/>
          <w:szCs w:val="20"/>
        </w:rPr>
        <w:t>○圳○段設計流量下</w:t>
      </w:r>
      <w:r>
        <w:rPr>
          <w:rFonts w:ascii="標楷體" w:eastAsia="標楷體" w:hAnsi="標楷體" w:cs="標楷體" w:hint="eastAsia"/>
          <w:color w:val="000000"/>
          <w:sz w:val="28"/>
          <w:szCs w:val="20"/>
        </w:rPr>
        <w:t>，小水力</w:t>
      </w:r>
      <w:r w:rsidR="008820D2">
        <w:rPr>
          <w:rFonts w:ascii="標楷體" w:eastAsia="標楷體" w:hAnsi="標楷體" w:cs="標楷體" w:hint="eastAsia"/>
          <w:color w:val="000000"/>
          <w:sz w:val="28"/>
          <w:szCs w:val="20"/>
        </w:rPr>
        <w:t>發電機組運轉時引水路內壅水高度不能高過出水高，不能導致圳路溢流影響取輸水效益。履約期間須提送水理計算書由技師簽證，經本</w:t>
      </w:r>
      <w:r>
        <w:rPr>
          <w:rFonts w:ascii="標楷體" w:eastAsia="標楷體" w:hAnsi="標楷體" w:cs="標楷體" w:hint="eastAsia"/>
          <w:color w:val="000000"/>
          <w:sz w:val="28"/>
          <w:szCs w:val="20"/>
        </w:rPr>
        <w:t>會</w:t>
      </w:r>
      <w:r w:rsidR="008820D2">
        <w:rPr>
          <w:rFonts w:ascii="標楷體" w:eastAsia="標楷體" w:hAnsi="標楷體" w:cs="標楷體" w:hint="eastAsia"/>
          <w:color w:val="000000"/>
          <w:sz w:val="28"/>
          <w:szCs w:val="20"/>
        </w:rPr>
        <w:t>同意後方可施作。</w:t>
      </w:r>
    </w:p>
    <w:p w:rsidR="00053F03" w:rsidRDefault="008820D2">
      <w:pPr>
        <w:numPr>
          <w:ilvl w:val="0"/>
          <w:numId w:val="23"/>
        </w:numPr>
        <w:snapToGrid w:val="0"/>
        <w:spacing w:line="400" w:lineRule="exact"/>
        <w:jc w:val="both"/>
        <w:textAlignment w:val="baseline"/>
      </w:pPr>
      <w:r>
        <w:rPr>
          <w:rFonts w:ascii="標楷體" w:eastAsia="標楷體" w:hAnsi="標楷體" w:cs="標楷體"/>
          <w:color w:val="000000"/>
          <w:sz w:val="28"/>
          <w:szCs w:val="20"/>
        </w:rPr>
        <w:t>本案</w:t>
      </w:r>
      <w:r>
        <w:rPr>
          <w:rFonts w:ascii="標楷體" w:eastAsia="標楷體" w:hAnsi="標楷體" w:cs="標楷體" w:hint="eastAsia"/>
          <w:color w:val="000000"/>
          <w:sz w:val="28"/>
          <w:szCs w:val="20"/>
        </w:rPr>
        <w:t>須依水利法第15條規定取得水權，由得標廠商依水利法相關規定自行辦理申請事宜。</w:t>
      </w:r>
    </w:p>
    <w:p w:rsidR="00053F03" w:rsidRDefault="008820D2">
      <w:pPr>
        <w:numPr>
          <w:ilvl w:val="0"/>
          <w:numId w:val="23"/>
        </w:numPr>
        <w:snapToGrid w:val="0"/>
        <w:spacing w:line="400" w:lineRule="exact"/>
        <w:jc w:val="both"/>
        <w:textAlignment w:val="baseline"/>
      </w:pPr>
      <w:r>
        <w:rPr>
          <w:rFonts w:ascii="標楷體" w:eastAsia="標楷體" w:hAnsi="標楷體" w:cs="標楷體" w:hint="eastAsia"/>
          <w:color w:val="000000"/>
          <w:sz w:val="28"/>
          <w:szCs w:val="20"/>
        </w:rPr>
        <w:t>發電設備及相關設施之基礎，以自設為原則，不得於引水路設施牆面有打設、鑽鑿等行為。如部分設備需置放於引水路側牆上，須提出</w:t>
      </w:r>
      <w:r w:rsidR="00073DED">
        <w:rPr>
          <w:rFonts w:ascii="標楷體" w:eastAsia="標楷體" w:hAnsi="標楷體" w:cs="標楷體" w:hint="eastAsia"/>
          <w:color w:val="000000"/>
          <w:sz w:val="28"/>
          <w:szCs w:val="20"/>
        </w:rPr>
        <w:t>技師簽證之</w:t>
      </w:r>
      <w:r>
        <w:rPr>
          <w:rFonts w:ascii="標楷體" w:eastAsia="標楷體" w:hAnsi="標楷體" w:cs="標楷體" w:hint="eastAsia"/>
          <w:color w:val="000000"/>
          <w:sz w:val="28"/>
          <w:szCs w:val="20"/>
        </w:rPr>
        <w:t>結構計算書，經本</w:t>
      </w:r>
      <w:r w:rsidR="007B5E46">
        <w:rPr>
          <w:rFonts w:ascii="標楷體" w:eastAsia="標楷體" w:hAnsi="標楷體" w:cs="標楷體" w:hint="eastAsia"/>
          <w:color w:val="000000"/>
          <w:sz w:val="28"/>
          <w:szCs w:val="20"/>
        </w:rPr>
        <w:t>會</w:t>
      </w:r>
      <w:r>
        <w:rPr>
          <w:rFonts w:ascii="標楷體" w:eastAsia="標楷體" w:hAnsi="標楷體" w:cs="標楷體" w:hint="eastAsia"/>
          <w:color w:val="000000"/>
          <w:sz w:val="28"/>
          <w:szCs w:val="20"/>
        </w:rPr>
        <w:t>同意後方可施作。</w:t>
      </w:r>
    </w:p>
    <w:p w:rsidR="00053F03" w:rsidRDefault="008820D2">
      <w:pPr>
        <w:numPr>
          <w:ilvl w:val="0"/>
          <w:numId w:val="23"/>
        </w:numPr>
        <w:snapToGrid w:val="0"/>
        <w:spacing w:line="400" w:lineRule="exact"/>
        <w:jc w:val="both"/>
        <w:textAlignment w:val="baseline"/>
      </w:pPr>
      <w:r>
        <w:rPr>
          <w:rFonts w:ascii="標楷體" w:eastAsia="標楷體" w:hAnsi="標楷體" w:cs="標楷體" w:hint="eastAsia"/>
          <w:color w:val="000000"/>
          <w:sz w:val="28"/>
          <w:szCs w:val="20"/>
        </w:rPr>
        <w:t>發電設備應置應保留足夠寬度提供緊急搶險、救難或公務用車輛出入之空間。</w:t>
      </w:r>
    </w:p>
    <w:p w:rsidR="00053F03" w:rsidRDefault="008820D2">
      <w:pPr>
        <w:numPr>
          <w:ilvl w:val="0"/>
          <w:numId w:val="23"/>
        </w:numPr>
        <w:snapToGrid w:val="0"/>
        <w:spacing w:line="400" w:lineRule="exact"/>
        <w:jc w:val="both"/>
        <w:textAlignment w:val="baseline"/>
      </w:pPr>
      <w:r>
        <w:rPr>
          <w:rFonts w:ascii="標楷體" w:eastAsia="標楷體" w:hAnsi="標楷體" w:cs="標楷體" w:hint="eastAsia"/>
          <w:color w:val="000000"/>
          <w:sz w:val="28"/>
          <w:szCs w:val="20"/>
        </w:rPr>
        <w:t>本案租賃標的土地內相關設施、環境及場所之維護管理工作，由得標廠商負責。</w:t>
      </w:r>
    </w:p>
    <w:p w:rsidR="00053F03" w:rsidRDefault="008820D2">
      <w:pPr>
        <w:numPr>
          <w:ilvl w:val="0"/>
          <w:numId w:val="23"/>
        </w:numPr>
        <w:snapToGrid w:val="0"/>
        <w:spacing w:line="400" w:lineRule="exact"/>
        <w:jc w:val="both"/>
        <w:textAlignment w:val="baseline"/>
      </w:pPr>
      <w:r>
        <w:rPr>
          <w:rFonts w:ascii="標楷體" w:eastAsia="標楷體" w:hAnsi="標楷體" w:cs="標楷體" w:hint="eastAsia"/>
          <w:color w:val="000000"/>
          <w:sz w:val="28"/>
          <w:szCs w:val="20"/>
        </w:rPr>
        <w:t>陸</w:t>
      </w:r>
      <w:r>
        <w:rPr>
          <w:rFonts w:ascii="標楷體" w:eastAsia="標楷體" w:hAnsi="標楷體" w:cs="標楷體"/>
          <w:color w:val="000000"/>
          <w:sz w:val="28"/>
          <w:szCs w:val="20"/>
        </w:rPr>
        <w:t>上</w:t>
      </w:r>
      <w:r w:rsidR="00073DED">
        <w:rPr>
          <w:rFonts w:ascii="標楷體" w:eastAsia="標楷體" w:hAnsi="標楷體" w:cs="標楷體" w:hint="eastAsia"/>
          <w:color w:val="000000"/>
          <w:sz w:val="28"/>
          <w:szCs w:val="20"/>
        </w:rPr>
        <w:t>颱風</w:t>
      </w:r>
      <w:r>
        <w:rPr>
          <w:rFonts w:ascii="標楷體" w:eastAsia="標楷體" w:hAnsi="標楷體" w:cs="標楷體" w:hint="eastAsia"/>
          <w:color w:val="000000"/>
          <w:sz w:val="28"/>
          <w:szCs w:val="20"/>
        </w:rPr>
        <w:t>警報</w:t>
      </w:r>
      <w:r>
        <w:rPr>
          <w:rFonts w:ascii="標楷體" w:eastAsia="標楷體" w:hAnsi="標楷體" w:cs="標楷體"/>
          <w:color w:val="000000"/>
          <w:sz w:val="28"/>
          <w:szCs w:val="20"/>
        </w:rPr>
        <w:t>或</w:t>
      </w:r>
      <w:r>
        <w:rPr>
          <w:rFonts w:ascii="標楷體" w:eastAsia="標楷體" w:hAnsi="標楷體" w:cs="標楷體" w:hint="eastAsia"/>
          <w:color w:val="000000"/>
          <w:sz w:val="28"/>
          <w:szCs w:val="20"/>
        </w:rPr>
        <w:t>大</w:t>
      </w:r>
      <w:r>
        <w:rPr>
          <w:rFonts w:ascii="標楷體" w:eastAsia="標楷體" w:hAnsi="標楷體" w:cs="標楷體"/>
          <w:color w:val="000000"/>
          <w:sz w:val="28"/>
          <w:szCs w:val="20"/>
        </w:rPr>
        <w:t>雨</w:t>
      </w:r>
      <w:r>
        <w:rPr>
          <w:rFonts w:ascii="標楷體" w:eastAsia="標楷體" w:hAnsi="標楷體" w:cs="標楷體" w:hint="eastAsia"/>
          <w:color w:val="000000"/>
          <w:sz w:val="28"/>
          <w:szCs w:val="20"/>
        </w:rPr>
        <w:t>、豪雨</w:t>
      </w:r>
      <w:r>
        <w:rPr>
          <w:rFonts w:ascii="標楷體" w:eastAsia="標楷體" w:hAnsi="標楷體" w:cs="標楷體"/>
          <w:color w:val="000000"/>
          <w:sz w:val="28"/>
          <w:szCs w:val="20"/>
        </w:rPr>
        <w:t>(包括大豪雨、超大豪雨)特報，</w:t>
      </w:r>
      <w:r w:rsidR="00BE6081" w:rsidRPr="00BE6081">
        <w:rPr>
          <w:rFonts w:ascii="標楷體" w:eastAsia="標楷體" w:hAnsi="標楷體" w:cs="標楷體" w:hint="eastAsia"/>
          <w:color w:val="FF0000"/>
          <w:sz w:val="28"/>
          <w:szCs w:val="20"/>
        </w:rPr>
        <w:t>○圳○段</w:t>
      </w:r>
      <w:r w:rsidR="00BE6081">
        <w:rPr>
          <w:rFonts w:ascii="標楷體" w:eastAsia="標楷體" w:hAnsi="標楷體" w:cs="標楷體"/>
          <w:color w:val="000000"/>
          <w:sz w:val="28"/>
          <w:szCs w:val="20"/>
        </w:rPr>
        <w:t>列入警戒區域時，廠商應立即派人進駐加強防</w:t>
      </w:r>
      <w:r w:rsidR="00BE6081">
        <w:rPr>
          <w:rFonts w:ascii="標楷體" w:eastAsia="標楷體" w:hAnsi="標楷體" w:cs="標楷體" w:hint="eastAsia"/>
          <w:color w:val="000000"/>
          <w:sz w:val="28"/>
          <w:szCs w:val="20"/>
        </w:rPr>
        <w:t>災</w:t>
      </w:r>
      <w:r>
        <w:rPr>
          <w:rFonts w:ascii="標楷體" w:eastAsia="標楷體" w:hAnsi="標楷體" w:cs="標楷體"/>
          <w:color w:val="000000"/>
          <w:sz w:val="28"/>
          <w:szCs w:val="20"/>
        </w:rPr>
        <w:t>應變措施。</w:t>
      </w:r>
    </w:p>
    <w:p w:rsidR="00053F03" w:rsidRDefault="008820D2">
      <w:pPr>
        <w:pStyle w:val="a"/>
        <w:numPr>
          <w:ilvl w:val="0"/>
          <w:numId w:val="5"/>
        </w:numPr>
        <w:snapToGrid w:val="0"/>
        <w:spacing w:line="400" w:lineRule="exact"/>
        <w:ind w:left="561" w:hanging="561"/>
        <w:contextualSpacing/>
        <w:rPr>
          <w:rFonts w:hint="default"/>
        </w:rPr>
      </w:pPr>
      <w:r>
        <w:rPr>
          <w:rFonts w:hint="default"/>
          <w:color w:val="000000"/>
        </w:rPr>
        <w:t>投標</w:t>
      </w:r>
      <w:r>
        <w:rPr>
          <w:color w:val="000000"/>
        </w:rPr>
        <w:t>廠商</w:t>
      </w:r>
      <w:r>
        <w:rPr>
          <w:rFonts w:hint="default"/>
          <w:color w:val="000000"/>
        </w:rPr>
        <w:t>資格：</w:t>
      </w:r>
    </w:p>
    <w:p w:rsidR="00053F03" w:rsidRDefault="008820D2">
      <w:pPr>
        <w:numPr>
          <w:ilvl w:val="0"/>
          <w:numId w:val="4"/>
        </w:numPr>
        <w:snapToGrid w:val="0"/>
        <w:spacing w:line="400" w:lineRule="exact"/>
        <w:jc w:val="both"/>
        <w:textAlignment w:val="baseline"/>
      </w:pPr>
      <w:r>
        <w:rPr>
          <w:rFonts w:eastAsia="標楷體" w:cs="標楷體"/>
          <w:color w:val="000000"/>
          <w:sz w:val="28"/>
          <w:szCs w:val="28"/>
        </w:rPr>
        <w:t>投標身分：</w:t>
      </w:r>
    </w:p>
    <w:p w:rsidR="00053F03" w:rsidRDefault="008820D2">
      <w:pPr>
        <w:numPr>
          <w:ilvl w:val="0"/>
          <w:numId w:val="9"/>
        </w:numPr>
        <w:snapToGrid w:val="0"/>
        <w:spacing w:line="400" w:lineRule="exact"/>
        <w:contextualSpacing/>
        <w:jc w:val="both"/>
      </w:pPr>
      <w:r>
        <w:rPr>
          <w:rFonts w:eastAsia="標楷體" w:cs="標楷體"/>
          <w:color w:val="000000"/>
          <w:sz w:val="28"/>
          <w:szCs w:val="28"/>
        </w:rPr>
        <w:t>須為依法登記有案之公司</w:t>
      </w:r>
      <w:r>
        <w:rPr>
          <w:rFonts w:eastAsia="標楷體" w:cs="標楷體" w:hint="eastAsia"/>
          <w:color w:val="000000"/>
          <w:sz w:val="28"/>
          <w:szCs w:val="28"/>
        </w:rPr>
        <w:t>，其</w:t>
      </w:r>
      <w:r>
        <w:rPr>
          <w:rFonts w:eastAsia="標楷體" w:cs="標楷體"/>
          <w:color w:val="000000"/>
          <w:sz w:val="28"/>
          <w:szCs w:val="28"/>
        </w:rPr>
        <w:t>營業項目登記需有乙級以上電器承裝業（</w:t>
      </w:r>
      <w:r>
        <w:rPr>
          <w:rFonts w:eastAsia="標楷體"/>
          <w:color w:val="000000"/>
          <w:sz w:val="28"/>
          <w:szCs w:val="28"/>
        </w:rPr>
        <w:t>E601010</w:t>
      </w:r>
      <w:r>
        <w:rPr>
          <w:rFonts w:eastAsia="標楷體" w:cs="標楷體"/>
          <w:color w:val="000000"/>
          <w:sz w:val="28"/>
          <w:szCs w:val="28"/>
        </w:rPr>
        <w:t>）或能源技術服務業（</w:t>
      </w:r>
      <w:r>
        <w:rPr>
          <w:rFonts w:eastAsia="標楷體"/>
          <w:color w:val="000000"/>
          <w:sz w:val="28"/>
          <w:szCs w:val="28"/>
        </w:rPr>
        <w:t>IG03010</w:t>
      </w:r>
      <w:r>
        <w:rPr>
          <w:rFonts w:eastAsia="標楷體" w:cs="標楷體"/>
          <w:color w:val="000000"/>
          <w:sz w:val="28"/>
          <w:szCs w:val="28"/>
        </w:rPr>
        <w:t>）或</w:t>
      </w:r>
      <w:r>
        <w:rPr>
          <w:rFonts w:ascii="標楷體" w:eastAsia="標楷體" w:hAnsi="標楷體" w:cs="標楷體"/>
          <w:color w:val="000000"/>
          <w:sz w:val="28"/>
          <w:szCs w:val="28"/>
        </w:rPr>
        <w:lastRenderedPageBreak/>
        <w:t>再生能源自用發電設備業（D101060）至少包含一項。</w:t>
      </w:r>
    </w:p>
    <w:p w:rsidR="00053F03" w:rsidRDefault="008820D2">
      <w:pPr>
        <w:numPr>
          <w:ilvl w:val="0"/>
          <w:numId w:val="9"/>
        </w:numPr>
        <w:snapToGrid w:val="0"/>
        <w:spacing w:line="400" w:lineRule="exact"/>
        <w:contextualSpacing/>
        <w:jc w:val="both"/>
      </w:pPr>
      <w:r>
        <w:rPr>
          <w:rFonts w:ascii="標楷體" w:eastAsia="標楷體" w:hAnsi="標楷體" w:cs="標楷體" w:hint="eastAsia"/>
          <w:color w:val="000000"/>
          <w:sz w:val="28"/>
          <w:szCs w:val="28"/>
        </w:rPr>
        <w:t>本案不訂定實績限制，投標廠商如曾辦理再生能源電能躉售予台電公司或相關設備開發、建置之經驗，可載明於設置使用計畫書。</w:t>
      </w:r>
    </w:p>
    <w:p w:rsidR="00053F03" w:rsidRDefault="008820D2">
      <w:pPr>
        <w:numPr>
          <w:ilvl w:val="0"/>
          <w:numId w:val="9"/>
        </w:numPr>
        <w:snapToGrid w:val="0"/>
        <w:spacing w:line="400" w:lineRule="exact"/>
        <w:contextualSpacing/>
        <w:jc w:val="both"/>
      </w:pPr>
      <w:r>
        <w:rPr>
          <w:rFonts w:ascii="標楷體" w:eastAsia="標楷體" w:hAnsi="標楷體" w:cs="標楷體"/>
          <w:color w:val="000000"/>
          <w:sz w:val="28"/>
          <w:szCs w:val="28"/>
        </w:rPr>
        <w:t>外國公司參加投標，應受土地法第十七條、第十八條及第二十四條之限制。</w:t>
      </w:r>
    </w:p>
    <w:p w:rsidR="00053F03" w:rsidRDefault="008820D2">
      <w:pPr>
        <w:numPr>
          <w:ilvl w:val="0"/>
          <w:numId w:val="9"/>
        </w:numPr>
        <w:snapToGrid w:val="0"/>
        <w:spacing w:line="400" w:lineRule="exact"/>
        <w:contextualSpacing/>
        <w:jc w:val="both"/>
      </w:pPr>
      <w:r>
        <w:rPr>
          <w:rFonts w:eastAsia="標楷體" w:cs="標楷體"/>
          <w:color w:val="000000"/>
          <w:sz w:val="28"/>
          <w:szCs w:val="28"/>
        </w:rPr>
        <w:t>大陸地區於第三地區投資之公司參加投標，應受台灣地區與大陸地區人民關係條例第六十九條之限制。</w:t>
      </w:r>
    </w:p>
    <w:p w:rsidR="00053F03" w:rsidRDefault="008820D2">
      <w:pPr>
        <w:numPr>
          <w:ilvl w:val="0"/>
          <w:numId w:val="9"/>
        </w:numPr>
        <w:snapToGrid w:val="0"/>
        <w:spacing w:line="400" w:lineRule="exact"/>
        <w:contextualSpacing/>
        <w:jc w:val="both"/>
      </w:pPr>
      <w:r>
        <w:rPr>
          <w:rFonts w:eastAsia="標楷體" w:cs="標楷體"/>
          <w:color w:val="000000"/>
          <w:sz w:val="28"/>
          <w:szCs w:val="28"/>
        </w:rPr>
        <w:t>本標租案不允許共同投標。</w:t>
      </w:r>
    </w:p>
    <w:p w:rsidR="00053F03" w:rsidRDefault="008820D2">
      <w:pPr>
        <w:numPr>
          <w:ilvl w:val="0"/>
          <w:numId w:val="4"/>
        </w:numPr>
        <w:snapToGrid w:val="0"/>
        <w:spacing w:line="400" w:lineRule="exact"/>
        <w:jc w:val="both"/>
        <w:textAlignment w:val="baseline"/>
      </w:pPr>
      <w:r>
        <w:rPr>
          <w:rFonts w:eastAsia="標楷體" w:cs="標楷體"/>
          <w:color w:val="000000"/>
          <w:sz w:val="28"/>
          <w:szCs w:val="28"/>
        </w:rPr>
        <w:t>開標前與本</w:t>
      </w:r>
      <w:r w:rsidR="00BE6081">
        <w:rPr>
          <w:rFonts w:eastAsia="標楷體" w:cs="標楷體" w:hint="eastAsia"/>
          <w:color w:val="000000"/>
          <w:sz w:val="28"/>
          <w:szCs w:val="28"/>
        </w:rPr>
        <w:t>會</w:t>
      </w:r>
      <w:r>
        <w:rPr>
          <w:rFonts w:eastAsia="標楷體" w:cs="標楷體"/>
          <w:color w:val="000000"/>
          <w:sz w:val="28"/>
          <w:szCs w:val="28"/>
        </w:rPr>
        <w:t>有法律糾紛或承辦本</w:t>
      </w:r>
      <w:r w:rsidR="00BE6081">
        <w:rPr>
          <w:rFonts w:eastAsia="標楷體" w:cs="標楷體" w:hint="eastAsia"/>
          <w:color w:val="000000"/>
          <w:sz w:val="28"/>
          <w:szCs w:val="28"/>
        </w:rPr>
        <w:t>會</w:t>
      </w:r>
      <w:r>
        <w:rPr>
          <w:rFonts w:eastAsia="標楷體" w:cs="標楷體"/>
          <w:color w:val="000000"/>
          <w:sz w:val="28"/>
          <w:szCs w:val="28"/>
        </w:rPr>
        <w:t>其他業務拖欠費用或承租標的物尚未繳清應付租金、違約金或其他原契約所約定應由承租人支付之費用者，不得參與投標，受主管機關停業處分期限未滿者亦同。</w:t>
      </w:r>
    </w:p>
    <w:p w:rsidR="00053F03" w:rsidRDefault="008820D2">
      <w:pPr>
        <w:pStyle w:val="a"/>
        <w:numPr>
          <w:ilvl w:val="0"/>
          <w:numId w:val="5"/>
        </w:numPr>
        <w:snapToGrid w:val="0"/>
        <w:spacing w:line="400" w:lineRule="exact"/>
        <w:ind w:left="561" w:hanging="561"/>
        <w:contextualSpacing/>
        <w:rPr>
          <w:rFonts w:hint="default"/>
        </w:rPr>
      </w:pPr>
      <w:r>
        <w:rPr>
          <w:rFonts w:ascii="Times New Roman" w:hAnsi="Times New Roman" w:cs="Times New Roman" w:hint="default"/>
          <w:color w:val="000000"/>
          <w:szCs w:val="32"/>
        </w:rPr>
        <w:t>投標廠商應檢附之資格證明文件：</w:t>
      </w:r>
    </w:p>
    <w:p w:rsidR="00053F03" w:rsidRDefault="008820D2">
      <w:pPr>
        <w:numPr>
          <w:ilvl w:val="0"/>
          <w:numId w:val="3"/>
        </w:numPr>
        <w:snapToGrid w:val="0"/>
        <w:spacing w:line="400" w:lineRule="exact"/>
        <w:contextualSpacing/>
        <w:jc w:val="both"/>
      </w:pPr>
      <w:r>
        <w:rPr>
          <w:rFonts w:eastAsia="標楷體" w:cs="標楷體"/>
          <w:color w:val="000000"/>
          <w:sz w:val="28"/>
          <w:szCs w:val="28"/>
        </w:rPr>
        <w:t>廠商登記或設立之證明文件：</w:t>
      </w:r>
    </w:p>
    <w:p w:rsidR="00053F03" w:rsidRDefault="008820D2">
      <w:pPr>
        <w:numPr>
          <w:ilvl w:val="0"/>
          <w:numId w:val="12"/>
        </w:numPr>
        <w:snapToGrid w:val="0"/>
        <w:spacing w:line="400" w:lineRule="exact"/>
        <w:contextualSpacing/>
        <w:jc w:val="both"/>
      </w:pPr>
      <w:r>
        <w:rPr>
          <w:rFonts w:eastAsia="標楷體" w:cs="標楷體"/>
          <w:color w:val="000000"/>
          <w:sz w:val="28"/>
          <w:szCs w:val="28"/>
        </w:rPr>
        <w:t>以下任繳一種：公司登記或商業登記證明文件、公司變更登記表、公司登記證明書或列印公開於目的事業主管機關網站之最新資料代之。</w:t>
      </w:r>
    </w:p>
    <w:p w:rsidR="00053F03" w:rsidRDefault="008820D2">
      <w:pPr>
        <w:numPr>
          <w:ilvl w:val="0"/>
          <w:numId w:val="12"/>
        </w:numPr>
        <w:snapToGrid w:val="0"/>
        <w:spacing w:line="400" w:lineRule="exact"/>
        <w:contextualSpacing/>
        <w:jc w:val="both"/>
      </w:pPr>
      <w:r>
        <w:rPr>
          <w:rFonts w:eastAsia="標楷體" w:cs="標楷體"/>
          <w:color w:val="000000"/>
          <w:sz w:val="28"/>
          <w:szCs w:val="28"/>
        </w:rPr>
        <w:t>登記營業項目</w:t>
      </w:r>
      <w:r>
        <w:rPr>
          <w:rFonts w:eastAsia="標楷體" w:cs="標楷體" w:hint="eastAsia"/>
          <w:color w:val="000000"/>
          <w:sz w:val="28"/>
          <w:szCs w:val="28"/>
        </w:rPr>
        <w:t>文件，</w:t>
      </w:r>
      <w:r>
        <w:rPr>
          <w:rFonts w:eastAsia="標楷體" w:cs="標楷體"/>
          <w:color w:val="000000"/>
          <w:sz w:val="28"/>
          <w:szCs w:val="28"/>
        </w:rPr>
        <w:t>電器承裝業需檢附乙級以上電器承裝業登記執照。</w:t>
      </w:r>
    </w:p>
    <w:p w:rsidR="00053F03" w:rsidRDefault="008820D2">
      <w:pPr>
        <w:numPr>
          <w:ilvl w:val="0"/>
          <w:numId w:val="3"/>
        </w:numPr>
        <w:snapToGrid w:val="0"/>
        <w:spacing w:line="400" w:lineRule="exact"/>
        <w:contextualSpacing/>
        <w:jc w:val="both"/>
      </w:pPr>
      <w:r>
        <w:rPr>
          <w:rFonts w:eastAsia="標楷體" w:cs="標楷體"/>
          <w:color w:val="000000"/>
          <w:sz w:val="28"/>
          <w:szCs w:val="28"/>
        </w:rPr>
        <w:t>納稅證明文件：最近一期之營業稅繳款書收據聯或主管稽徵機關核章之最近一期營業人銷售額與稅額申報書收執聯。廠商不及提出最近一期證明者，得以前</w:t>
      </w:r>
      <w:r>
        <w:rPr>
          <w:rFonts w:eastAsia="標楷體" w:hint="eastAsia"/>
          <w:color w:val="000000"/>
          <w:sz w:val="28"/>
          <w:szCs w:val="28"/>
        </w:rPr>
        <w:t>一</w:t>
      </w:r>
      <w:r>
        <w:rPr>
          <w:rFonts w:eastAsia="標楷體" w:cs="標楷體"/>
          <w:color w:val="000000"/>
          <w:sz w:val="28"/>
          <w:szCs w:val="28"/>
        </w:rPr>
        <w:t>期之納稅證明代之</w:t>
      </w:r>
      <w:r>
        <w:rPr>
          <w:rFonts w:eastAsia="標楷體"/>
          <w:color w:val="000000"/>
          <w:sz w:val="28"/>
          <w:szCs w:val="28"/>
        </w:rPr>
        <w:t>(</w:t>
      </w:r>
      <w:r>
        <w:rPr>
          <w:rFonts w:eastAsia="標楷體" w:cs="標楷體"/>
          <w:color w:val="000000"/>
          <w:sz w:val="28"/>
          <w:szCs w:val="28"/>
        </w:rPr>
        <w:t>免稅法人請提出免稅證明書）。新設立且未屆第一期營業稅繳納期限者，得以營業稅主管稽徵機關核發之核准設立登記公函代之；經核定使用統一發票者，應一併檢附申領統一發票購票證相關文件代之。</w:t>
      </w:r>
    </w:p>
    <w:p w:rsidR="00053F03" w:rsidRDefault="008820D2">
      <w:pPr>
        <w:numPr>
          <w:ilvl w:val="0"/>
          <w:numId w:val="3"/>
        </w:numPr>
        <w:snapToGrid w:val="0"/>
        <w:spacing w:line="400" w:lineRule="exact"/>
        <w:contextualSpacing/>
        <w:jc w:val="both"/>
      </w:pPr>
      <w:r>
        <w:rPr>
          <w:rFonts w:eastAsia="標楷體" w:cs="標楷體"/>
          <w:color w:val="000000"/>
          <w:sz w:val="28"/>
          <w:szCs w:val="28"/>
        </w:rPr>
        <w:t>信用證明文件：票據交換機構或受理查詢之金融機構於截止投標日之前半年內所出具之非拒絕往來戶及最近三年內無退票紀錄證明文件。（由票據交換所或受理查詢金融機構出具之票據信用查覆單，應加蓋查覆單位、單位有權人員及經辦員圖章者，始可作為證明之文件）。</w:t>
      </w:r>
    </w:p>
    <w:p w:rsidR="00053F03" w:rsidRDefault="008820D2">
      <w:pPr>
        <w:numPr>
          <w:ilvl w:val="0"/>
          <w:numId w:val="3"/>
        </w:numPr>
        <w:snapToGrid w:val="0"/>
        <w:spacing w:line="400" w:lineRule="exact"/>
        <w:contextualSpacing/>
        <w:jc w:val="both"/>
      </w:pPr>
      <w:r>
        <w:rPr>
          <w:rFonts w:eastAsia="標楷體" w:cs="標楷體"/>
          <w:color w:val="000000"/>
          <w:sz w:val="28"/>
          <w:szCs w:val="28"/>
        </w:rPr>
        <w:t>外國廠商提出之資格文件，應附經公證或認證之中文譯本，如外國廠商依該國情形提出有困難者，得於申請文件內敘明其情</w:t>
      </w:r>
      <w:r>
        <w:rPr>
          <w:rFonts w:eastAsia="標楷體" w:cs="標楷體"/>
          <w:color w:val="000000"/>
          <w:sz w:val="28"/>
          <w:szCs w:val="28"/>
        </w:rPr>
        <w:lastRenderedPageBreak/>
        <w:t>形或以其所具有之相當資格代之。</w:t>
      </w:r>
    </w:p>
    <w:p w:rsidR="00053F03" w:rsidRDefault="008820D2">
      <w:pPr>
        <w:numPr>
          <w:ilvl w:val="0"/>
          <w:numId w:val="3"/>
        </w:numPr>
        <w:snapToGrid w:val="0"/>
        <w:spacing w:line="400" w:lineRule="exact"/>
        <w:contextualSpacing/>
        <w:jc w:val="both"/>
      </w:pPr>
      <w:r>
        <w:rPr>
          <w:rFonts w:eastAsia="標楷體" w:cs="標楷體"/>
          <w:color w:val="000000"/>
          <w:sz w:val="28"/>
          <w:szCs w:val="32"/>
        </w:rPr>
        <w:t>投標廠商應提出之資格證明文件，除投標文件另有規定外，以影本為原則，但本</w:t>
      </w:r>
      <w:r w:rsidR="00BE6081">
        <w:rPr>
          <w:rFonts w:eastAsia="標楷體" w:cs="標楷體" w:hint="eastAsia"/>
          <w:color w:val="000000"/>
          <w:sz w:val="28"/>
          <w:szCs w:val="32"/>
        </w:rPr>
        <w:t>會</w:t>
      </w:r>
      <w:r>
        <w:rPr>
          <w:rFonts w:eastAsia="標楷體" w:cs="標楷體"/>
          <w:color w:val="000000"/>
          <w:sz w:val="28"/>
          <w:szCs w:val="32"/>
        </w:rPr>
        <w:t>於必要時得通知投標廠商限期提出正本以供查驗，查驗結果如與正本不符，係偽造或變造者，</w:t>
      </w:r>
      <w:r w:rsidR="00BE6081">
        <w:rPr>
          <w:rFonts w:eastAsia="標楷體" w:cs="標楷體" w:hint="eastAsia"/>
          <w:color w:val="000000"/>
          <w:sz w:val="28"/>
          <w:szCs w:val="32"/>
        </w:rPr>
        <w:t>本會</w:t>
      </w:r>
      <w:r>
        <w:rPr>
          <w:rFonts w:eastAsia="標楷體" w:cs="標楷體"/>
          <w:color w:val="000000"/>
          <w:sz w:val="28"/>
          <w:szCs w:val="32"/>
        </w:rPr>
        <w:t>於開標前發現者，其所投之標應不予開標；於開標後發現者，應不決標予該廠商；決標後發現得標廠商於決標前有前揭情形者，應撤銷決標。但撤銷決標反不符公共利益，並經上級機關核准者，不在此限。另</w:t>
      </w:r>
      <w:r w:rsidR="00BE6081">
        <w:rPr>
          <w:rFonts w:eastAsia="標楷體" w:cs="標楷體" w:hint="eastAsia"/>
          <w:color w:val="000000"/>
          <w:sz w:val="28"/>
          <w:szCs w:val="32"/>
        </w:rPr>
        <w:t>本會</w:t>
      </w:r>
      <w:r>
        <w:rPr>
          <w:rFonts w:eastAsia="標楷體" w:cs="標楷體"/>
          <w:color w:val="000000"/>
          <w:sz w:val="28"/>
          <w:szCs w:val="32"/>
        </w:rPr>
        <w:t>撤銷決標者，契約視為自始無效，並準用解除契約或終止契約之規定。</w:t>
      </w:r>
    </w:p>
    <w:p w:rsidR="00053F03" w:rsidRDefault="008820D2">
      <w:pPr>
        <w:pStyle w:val="a"/>
        <w:numPr>
          <w:ilvl w:val="0"/>
          <w:numId w:val="5"/>
        </w:numPr>
        <w:snapToGrid w:val="0"/>
        <w:spacing w:line="400" w:lineRule="exact"/>
        <w:ind w:left="561" w:hanging="561"/>
        <w:contextualSpacing/>
        <w:rPr>
          <w:rFonts w:hint="default"/>
        </w:rPr>
      </w:pPr>
      <w:r>
        <w:rPr>
          <w:rFonts w:ascii="Times New Roman" w:hAnsi="Times New Roman" w:cs="Times New Roman" w:hint="default"/>
          <w:color w:val="000000"/>
          <w:szCs w:val="28"/>
        </w:rPr>
        <w:t>租賃期間：</w:t>
      </w:r>
    </w:p>
    <w:p w:rsidR="00053F03" w:rsidRDefault="008820D2">
      <w:pPr>
        <w:numPr>
          <w:ilvl w:val="0"/>
          <w:numId w:val="8"/>
        </w:numPr>
        <w:snapToGrid w:val="0"/>
        <w:spacing w:line="400" w:lineRule="exact"/>
        <w:contextualSpacing/>
        <w:jc w:val="both"/>
      </w:pPr>
      <w:r>
        <w:rPr>
          <w:rFonts w:eastAsia="標楷體" w:cs="標楷體"/>
          <w:color w:val="000000"/>
          <w:sz w:val="28"/>
          <w:szCs w:val="32"/>
        </w:rPr>
        <w:t>本標租之標的，其租賃期間以</w:t>
      </w:r>
      <w:r>
        <w:rPr>
          <w:rFonts w:eastAsia="標楷體" w:cs="標楷體" w:hint="eastAsia"/>
          <w:color w:val="000000"/>
          <w:sz w:val="28"/>
          <w:szCs w:val="32"/>
        </w:rPr>
        <w:t>決標次日起算</w:t>
      </w:r>
      <w:r>
        <w:rPr>
          <w:rFonts w:eastAsia="標楷體" w:cs="標楷體" w:hint="eastAsia"/>
          <w:color w:val="000000"/>
          <w:sz w:val="28"/>
          <w:szCs w:val="32"/>
        </w:rPr>
        <w:t>9</w:t>
      </w:r>
      <w:r>
        <w:rPr>
          <w:rFonts w:eastAsia="標楷體" w:cs="標楷體" w:hint="eastAsia"/>
          <w:color w:val="000000"/>
          <w:sz w:val="28"/>
          <w:szCs w:val="32"/>
        </w:rPr>
        <w:t>年</w:t>
      </w:r>
      <w:r>
        <w:rPr>
          <w:rFonts w:eastAsia="標楷體" w:cs="標楷體" w:hint="eastAsia"/>
          <w:color w:val="000000"/>
          <w:sz w:val="28"/>
          <w:szCs w:val="32"/>
        </w:rPr>
        <w:t>11</w:t>
      </w:r>
      <w:r>
        <w:rPr>
          <w:rFonts w:eastAsia="標楷體" w:cs="標楷體" w:hint="eastAsia"/>
          <w:color w:val="000000"/>
          <w:sz w:val="28"/>
          <w:szCs w:val="32"/>
        </w:rPr>
        <w:t>個月。</w:t>
      </w:r>
    </w:p>
    <w:p w:rsidR="00053F03" w:rsidRDefault="008820D2">
      <w:pPr>
        <w:numPr>
          <w:ilvl w:val="0"/>
          <w:numId w:val="8"/>
        </w:numPr>
        <w:snapToGrid w:val="0"/>
        <w:spacing w:line="400" w:lineRule="exact"/>
        <w:contextualSpacing/>
        <w:jc w:val="both"/>
      </w:pPr>
      <w:r>
        <w:rPr>
          <w:rFonts w:eastAsia="標楷體" w:cs="標楷體"/>
          <w:color w:val="000000"/>
          <w:sz w:val="28"/>
          <w:szCs w:val="32"/>
        </w:rPr>
        <w:t>於</w:t>
      </w:r>
      <w:r w:rsidR="00DB064E">
        <w:rPr>
          <w:rFonts w:eastAsia="標楷體" w:cs="標楷體" w:hint="eastAsia"/>
          <w:color w:val="000000"/>
          <w:sz w:val="28"/>
          <w:szCs w:val="32"/>
        </w:rPr>
        <w:t>簽約後</w:t>
      </w:r>
      <w:r>
        <w:rPr>
          <w:rFonts w:eastAsia="標楷體" w:cs="標楷體" w:hint="eastAsia"/>
          <w:color w:val="000000"/>
          <w:sz w:val="28"/>
          <w:szCs w:val="32"/>
        </w:rPr>
        <w:t>次日起</w:t>
      </w:r>
      <w:r>
        <w:rPr>
          <w:rFonts w:eastAsia="標楷體" w:cs="標楷體" w:hint="eastAsia"/>
          <w:color w:val="000000"/>
          <w:sz w:val="28"/>
          <w:szCs w:val="32"/>
        </w:rPr>
        <w:t>3</w:t>
      </w:r>
      <w:r>
        <w:rPr>
          <w:rFonts w:eastAsia="標楷體" w:cs="標楷體"/>
          <w:color w:val="000000"/>
          <w:sz w:val="28"/>
          <w:szCs w:val="32"/>
        </w:rPr>
        <w:t>0</w:t>
      </w:r>
      <w:r>
        <w:rPr>
          <w:rFonts w:eastAsia="標楷體" w:cs="標楷體" w:hint="eastAsia"/>
          <w:color w:val="000000"/>
          <w:sz w:val="28"/>
          <w:szCs w:val="32"/>
        </w:rPr>
        <w:t>0</w:t>
      </w:r>
      <w:r>
        <w:rPr>
          <w:rFonts w:eastAsia="標楷體" w:cs="標楷體" w:hint="eastAsia"/>
          <w:color w:val="000000"/>
          <w:sz w:val="28"/>
          <w:szCs w:val="32"/>
        </w:rPr>
        <w:t>日曆天內</w:t>
      </w:r>
      <w:r>
        <w:rPr>
          <w:rFonts w:eastAsia="標楷體" w:cs="標楷體"/>
          <w:color w:val="000000"/>
          <w:sz w:val="28"/>
          <w:szCs w:val="32"/>
        </w:rPr>
        <w:t>，</w:t>
      </w:r>
      <w:r w:rsidR="00BE6081">
        <w:rPr>
          <w:rFonts w:eastAsia="標楷體" w:cs="標楷體" w:hint="eastAsia"/>
          <w:color w:val="000000"/>
          <w:sz w:val="28"/>
          <w:szCs w:val="32"/>
        </w:rPr>
        <w:t>得標</w:t>
      </w:r>
      <w:r>
        <w:rPr>
          <w:rFonts w:eastAsia="標楷體" w:cs="標楷體"/>
          <w:color w:val="000000"/>
          <w:sz w:val="28"/>
          <w:szCs w:val="32"/>
        </w:rPr>
        <w:t>廠商應完成投標設備裝置容量，完成投標設備裝置容量的認定為系統至少須完成併聯試運轉。</w:t>
      </w:r>
    </w:p>
    <w:p w:rsidR="00053F03" w:rsidRDefault="008820D2">
      <w:pPr>
        <w:pStyle w:val="a"/>
        <w:numPr>
          <w:ilvl w:val="0"/>
          <w:numId w:val="5"/>
        </w:numPr>
        <w:snapToGrid w:val="0"/>
        <w:spacing w:line="400" w:lineRule="exact"/>
        <w:ind w:left="561" w:hanging="561"/>
        <w:rPr>
          <w:rFonts w:hint="default"/>
        </w:rPr>
      </w:pPr>
      <w:r>
        <w:rPr>
          <w:rFonts w:ascii="Times New Roman" w:hAnsi="Times New Roman" w:cs="Times New Roman" w:hint="default"/>
          <w:color w:val="000000"/>
          <w:szCs w:val="28"/>
        </w:rPr>
        <w:t>權利金計算方式：</w:t>
      </w:r>
    </w:p>
    <w:p w:rsidR="00053F03" w:rsidRDefault="008820D2">
      <w:pPr>
        <w:numPr>
          <w:ilvl w:val="0"/>
          <w:numId w:val="11"/>
        </w:numPr>
        <w:snapToGrid w:val="0"/>
        <w:spacing w:line="400" w:lineRule="exact"/>
        <w:contextualSpacing/>
        <w:jc w:val="both"/>
      </w:pPr>
      <w:r>
        <w:rPr>
          <w:rFonts w:eastAsia="標楷體" w:cs="標楷體"/>
          <w:color w:val="000000"/>
          <w:sz w:val="28"/>
          <w:szCs w:val="32"/>
        </w:rPr>
        <w:t>權利金</w:t>
      </w:r>
      <w:r>
        <w:rPr>
          <w:rFonts w:eastAsia="標楷體" w:cs="標楷體"/>
          <w:color w:val="000000"/>
          <w:sz w:val="28"/>
          <w:szCs w:val="32"/>
        </w:rPr>
        <w:t>=</w:t>
      </w:r>
      <w:r>
        <w:rPr>
          <w:rFonts w:eastAsia="標楷體" w:cs="標楷體"/>
          <w:color w:val="000000"/>
          <w:sz w:val="28"/>
          <w:szCs w:val="32"/>
        </w:rPr>
        <w:t>售電收</w:t>
      </w:r>
      <w:r>
        <w:rPr>
          <w:rFonts w:eastAsia="標楷體" w:cs="標楷體" w:hint="eastAsia"/>
          <w:color w:val="000000"/>
          <w:sz w:val="28"/>
          <w:szCs w:val="32"/>
        </w:rPr>
        <w:t>入</w:t>
      </w:r>
      <w:r>
        <w:rPr>
          <w:rFonts w:eastAsia="標楷體" w:cs="標楷體"/>
          <w:color w:val="000000"/>
          <w:sz w:val="28"/>
          <w:szCs w:val="32"/>
        </w:rPr>
        <w:t>(</w:t>
      </w:r>
      <w:r>
        <w:rPr>
          <w:rFonts w:eastAsia="標楷體" w:cs="標楷體"/>
          <w:color w:val="000000"/>
          <w:sz w:val="28"/>
          <w:szCs w:val="32"/>
        </w:rPr>
        <w:t>元</w:t>
      </w:r>
      <w:r>
        <w:rPr>
          <w:rFonts w:eastAsia="標楷體" w:cs="標楷體"/>
          <w:color w:val="000000"/>
          <w:sz w:val="28"/>
          <w:szCs w:val="32"/>
        </w:rPr>
        <w:t>)×</w:t>
      </w:r>
      <w:r>
        <w:rPr>
          <w:rFonts w:eastAsia="標楷體" w:cs="標楷體"/>
          <w:color w:val="000000"/>
          <w:sz w:val="28"/>
          <w:szCs w:val="32"/>
        </w:rPr>
        <w:t>權利金百分比</w:t>
      </w:r>
      <w:r>
        <w:rPr>
          <w:rFonts w:eastAsia="標楷體" w:cs="標楷體"/>
          <w:color w:val="000000"/>
          <w:sz w:val="28"/>
          <w:szCs w:val="32"/>
        </w:rPr>
        <w:t>(</w:t>
      </w:r>
      <w:r>
        <w:rPr>
          <w:rFonts w:eastAsia="標楷體" w:cs="標楷體"/>
          <w:color w:val="000000"/>
          <w:sz w:val="28"/>
          <w:szCs w:val="32"/>
        </w:rPr>
        <w:t>％</w:t>
      </w:r>
      <w:r>
        <w:rPr>
          <w:rFonts w:eastAsia="標楷體" w:cs="標楷體"/>
          <w:color w:val="000000"/>
          <w:sz w:val="28"/>
          <w:szCs w:val="32"/>
        </w:rPr>
        <w:t>)</w:t>
      </w:r>
      <w:r>
        <w:rPr>
          <w:rFonts w:eastAsia="標楷體" w:cs="標楷體"/>
          <w:color w:val="000000"/>
          <w:sz w:val="28"/>
          <w:szCs w:val="32"/>
        </w:rPr>
        <w:t>。</w:t>
      </w:r>
    </w:p>
    <w:p w:rsidR="00053F03" w:rsidRDefault="008820D2">
      <w:pPr>
        <w:numPr>
          <w:ilvl w:val="0"/>
          <w:numId w:val="11"/>
        </w:numPr>
        <w:snapToGrid w:val="0"/>
        <w:spacing w:line="400" w:lineRule="exact"/>
        <w:contextualSpacing/>
        <w:jc w:val="both"/>
      </w:pPr>
      <w:r>
        <w:rPr>
          <w:rFonts w:eastAsia="標楷體" w:cs="標楷體"/>
          <w:color w:val="000000"/>
          <w:sz w:val="28"/>
          <w:szCs w:val="32"/>
        </w:rPr>
        <w:t>售電收</w:t>
      </w:r>
      <w:r>
        <w:rPr>
          <w:rFonts w:eastAsia="標楷體" w:cs="標楷體" w:hint="eastAsia"/>
          <w:color w:val="000000"/>
          <w:sz w:val="28"/>
          <w:szCs w:val="32"/>
        </w:rPr>
        <w:t>入</w:t>
      </w:r>
      <w:r>
        <w:rPr>
          <w:rFonts w:eastAsia="標楷體" w:cs="標楷體"/>
          <w:color w:val="000000"/>
          <w:sz w:val="28"/>
          <w:szCs w:val="32"/>
        </w:rPr>
        <w:t>(</w:t>
      </w:r>
      <w:r>
        <w:rPr>
          <w:rFonts w:eastAsia="標楷體" w:cs="標楷體"/>
          <w:color w:val="000000"/>
          <w:sz w:val="28"/>
          <w:szCs w:val="32"/>
        </w:rPr>
        <w:t>元</w:t>
      </w:r>
      <w:r>
        <w:rPr>
          <w:rFonts w:eastAsia="標楷體" w:cs="標楷體"/>
          <w:color w:val="000000"/>
          <w:sz w:val="28"/>
          <w:szCs w:val="32"/>
        </w:rPr>
        <w:t>)=</w:t>
      </w:r>
      <w:r w:rsidR="00BE6081">
        <w:rPr>
          <w:rFonts w:eastAsia="標楷體" w:cs="標楷體" w:hint="eastAsia"/>
          <w:color w:val="000000"/>
          <w:sz w:val="28"/>
          <w:szCs w:val="32"/>
        </w:rPr>
        <w:t>小</w:t>
      </w:r>
      <w:r>
        <w:rPr>
          <w:rFonts w:eastAsia="標楷體" w:cs="標楷體"/>
          <w:color w:val="000000"/>
          <w:sz w:val="28"/>
          <w:szCs w:val="32"/>
        </w:rPr>
        <w:t>水力發電設備發電量</w:t>
      </w:r>
      <w:r>
        <w:rPr>
          <w:rFonts w:eastAsia="標楷體" w:cs="標楷體"/>
          <w:color w:val="000000"/>
          <w:sz w:val="28"/>
          <w:szCs w:val="32"/>
        </w:rPr>
        <w:t>(</w:t>
      </w:r>
      <w:r>
        <w:rPr>
          <w:rFonts w:eastAsia="標楷體" w:cs="標楷體"/>
          <w:color w:val="000000"/>
          <w:sz w:val="28"/>
          <w:szCs w:val="32"/>
        </w:rPr>
        <w:t>度</w:t>
      </w:r>
      <w:r>
        <w:rPr>
          <w:rFonts w:eastAsia="標楷體" w:cs="標楷體"/>
          <w:color w:val="000000"/>
          <w:sz w:val="28"/>
          <w:szCs w:val="32"/>
        </w:rPr>
        <w:t>)×</w:t>
      </w:r>
      <w:r>
        <w:rPr>
          <w:rFonts w:eastAsia="標楷體" w:cs="標楷體"/>
          <w:color w:val="000000"/>
          <w:sz w:val="28"/>
          <w:szCs w:val="32"/>
        </w:rPr>
        <w:t>躉購價格</w:t>
      </w:r>
      <w:r>
        <w:rPr>
          <w:rFonts w:eastAsia="標楷體" w:cs="標楷體"/>
          <w:color w:val="000000"/>
          <w:sz w:val="28"/>
          <w:szCs w:val="32"/>
        </w:rPr>
        <w:t>(</w:t>
      </w:r>
      <w:r>
        <w:rPr>
          <w:rFonts w:eastAsia="標楷體" w:cs="標楷體"/>
          <w:color w:val="000000"/>
          <w:sz w:val="28"/>
          <w:szCs w:val="32"/>
        </w:rPr>
        <w:t>元</w:t>
      </w:r>
      <w:r>
        <w:rPr>
          <w:rFonts w:eastAsia="標楷體" w:cs="標楷體"/>
          <w:color w:val="000000"/>
          <w:sz w:val="28"/>
          <w:szCs w:val="32"/>
        </w:rPr>
        <w:t>)</w:t>
      </w:r>
      <w:r>
        <w:rPr>
          <w:rFonts w:eastAsia="標楷體" w:cs="標楷體"/>
          <w:color w:val="000000"/>
          <w:sz w:val="28"/>
          <w:szCs w:val="32"/>
        </w:rPr>
        <w:t>。</w:t>
      </w:r>
    </w:p>
    <w:p w:rsidR="00053F03" w:rsidRDefault="008820D2">
      <w:pPr>
        <w:numPr>
          <w:ilvl w:val="0"/>
          <w:numId w:val="11"/>
        </w:numPr>
        <w:snapToGrid w:val="0"/>
        <w:spacing w:line="400" w:lineRule="exact"/>
        <w:contextualSpacing/>
        <w:jc w:val="both"/>
      </w:pPr>
      <w:r>
        <w:rPr>
          <w:rFonts w:eastAsia="標楷體" w:cs="標楷體"/>
          <w:color w:val="000000"/>
          <w:sz w:val="28"/>
          <w:szCs w:val="32"/>
        </w:rPr>
        <w:t>權利金百分比</w:t>
      </w:r>
      <w:r>
        <w:rPr>
          <w:rFonts w:eastAsia="標楷體" w:cs="標楷體"/>
          <w:color w:val="000000"/>
          <w:sz w:val="28"/>
          <w:szCs w:val="32"/>
        </w:rPr>
        <w:t>(</w:t>
      </w:r>
      <w:r>
        <w:rPr>
          <w:rFonts w:eastAsia="標楷體" w:cs="標楷體"/>
          <w:color w:val="000000"/>
          <w:sz w:val="28"/>
          <w:szCs w:val="32"/>
        </w:rPr>
        <w:t>％</w:t>
      </w:r>
      <w:r>
        <w:rPr>
          <w:rFonts w:eastAsia="標楷體" w:cs="標楷體"/>
          <w:color w:val="000000"/>
          <w:sz w:val="28"/>
          <w:szCs w:val="32"/>
        </w:rPr>
        <w:t>)</w:t>
      </w:r>
      <w:r>
        <w:rPr>
          <w:rFonts w:eastAsia="標楷體" w:cs="標楷體"/>
          <w:color w:val="000000"/>
          <w:sz w:val="28"/>
          <w:szCs w:val="32"/>
        </w:rPr>
        <w:t>不得低於</w:t>
      </w:r>
      <w:r>
        <w:rPr>
          <w:rFonts w:eastAsia="標楷體" w:cs="標楷體"/>
          <w:b/>
          <w:bCs/>
          <w:color w:val="000000"/>
          <w:sz w:val="28"/>
          <w:szCs w:val="32"/>
        </w:rPr>
        <w:t>2%</w:t>
      </w:r>
      <w:r>
        <w:rPr>
          <w:rFonts w:eastAsia="標楷體" w:cs="標楷體"/>
          <w:color w:val="000000"/>
          <w:sz w:val="28"/>
          <w:szCs w:val="32"/>
        </w:rPr>
        <w:t>(</w:t>
      </w:r>
      <w:r>
        <w:rPr>
          <w:rFonts w:eastAsia="標楷體" w:cs="標楷體"/>
          <w:color w:val="000000"/>
          <w:sz w:val="28"/>
          <w:szCs w:val="32"/>
        </w:rPr>
        <w:t>由</w:t>
      </w:r>
      <w:r>
        <w:rPr>
          <w:rFonts w:eastAsia="標楷體" w:cs="標楷體" w:hint="eastAsia"/>
          <w:color w:val="000000"/>
          <w:sz w:val="28"/>
          <w:szCs w:val="32"/>
        </w:rPr>
        <w:t>投標廠商</w:t>
      </w:r>
      <w:r>
        <w:rPr>
          <w:rFonts w:eastAsia="標楷體" w:cs="標楷體"/>
          <w:color w:val="000000"/>
          <w:sz w:val="28"/>
          <w:szCs w:val="32"/>
        </w:rPr>
        <w:t>自行評估該段發電潛能填寫</w:t>
      </w:r>
      <w:r>
        <w:rPr>
          <w:rFonts w:eastAsia="標楷體" w:cs="標楷體"/>
          <w:color w:val="000000"/>
          <w:sz w:val="28"/>
          <w:szCs w:val="32"/>
        </w:rPr>
        <w:t>)</w:t>
      </w:r>
      <w:r>
        <w:rPr>
          <w:rFonts w:eastAsia="標楷體" w:cs="標楷體"/>
          <w:color w:val="000000"/>
          <w:sz w:val="28"/>
          <w:szCs w:val="32"/>
        </w:rPr>
        <w:t>。</w:t>
      </w:r>
    </w:p>
    <w:p w:rsidR="00053F03" w:rsidRDefault="008820D2">
      <w:pPr>
        <w:numPr>
          <w:ilvl w:val="0"/>
          <w:numId w:val="11"/>
        </w:numPr>
        <w:snapToGrid w:val="0"/>
        <w:spacing w:line="400" w:lineRule="exact"/>
        <w:jc w:val="both"/>
      </w:pPr>
      <w:r>
        <w:rPr>
          <w:rFonts w:eastAsia="標楷體" w:cs="標楷體" w:hint="eastAsia"/>
          <w:color w:val="000000"/>
          <w:sz w:val="28"/>
          <w:szCs w:val="32"/>
        </w:rPr>
        <w:t>每年權利金金額應大於或等於該年土地租金，若有不足廠商應補足差額，差額未依限補足則於履約保證金扣抵。未滿一年時則依租賃日數佔該年日數按比例計算應補差額，土地租金計算式</w:t>
      </w:r>
      <w:r>
        <w:rPr>
          <w:rFonts w:eastAsia="標楷體" w:hint="eastAsia"/>
          <w:color w:val="000000"/>
          <w:sz w:val="28"/>
          <w:szCs w:val="32"/>
        </w:rPr>
        <w:t>=</w:t>
      </w:r>
      <w:r>
        <w:rPr>
          <w:rFonts w:eastAsia="標楷體" w:cs="標楷體" w:hint="eastAsia"/>
          <w:color w:val="000000"/>
          <w:sz w:val="28"/>
          <w:szCs w:val="32"/>
        </w:rPr>
        <w:t>租用土地面積</w:t>
      </w:r>
      <w:r>
        <w:rPr>
          <w:rFonts w:eastAsia="標楷體" w:cs="標楷體" w:hint="eastAsia"/>
          <w:color w:val="000000"/>
          <w:sz w:val="28"/>
          <w:szCs w:val="32"/>
        </w:rPr>
        <w:t>(</w:t>
      </w:r>
      <w:r>
        <w:rPr>
          <w:rFonts w:eastAsia="標楷體" w:cs="標楷體" w:hint="eastAsia"/>
          <w:color w:val="000000"/>
          <w:sz w:val="28"/>
          <w:szCs w:val="32"/>
        </w:rPr>
        <w:t>平方公尺</w:t>
      </w:r>
      <w:r>
        <w:rPr>
          <w:rFonts w:eastAsia="標楷體" w:cs="標楷體" w:hint="eastAsia"/>
          <w:color w:val="000000"/>
          <w:sz w:val="28"/>
          <w:szCs w:val="32"/>
        </w:rPr>
        <w:t>)</w:t>
      </w:r>
      <w:r>
        <w:rPr>
          <w:rFonts w:eastAsia="標楷體" w:cs="標楷體" w:hint="eastAsia"/>
          <w:color w:val="000000"/>
          <w:sz w:val="28"/>
          <w:szCs w:val="32"/>
        </w:rPr>
        <w:t>×當期申報地價×</w:t>
      </w:r>
      <w:r>
        <w:rPr>
          <w:rFonts w:eastAsia="標楷體" w:cs="標楷體" w:hint="eastAsia"/>
          <w:color w:val="000000"/>
          <w:sz w:val="28"/>
          <w:szCs w:val="32"/>
        </w:rPr>
        <w:t xml:space="preserve"> 5 %</w:t>
      </w:r>
      <w:r>
        <w:rPr>
          <w:rFonts w:ascii="新細明體" w:hAnsi="新細明體" w:cs="新細明體" w:hint="eastAsia"/>
          <w:color w:val="000000"/>
          <w:sz w:val="28"/>
          <w:szCs w:val="32"/>
        </w:rPr>
        <w:t>，</w:t>
      </w:r>
      <w:r>
        <w:rPr>
          <w:rFonts w:eastAsia="標楷體" w:cs="標楷體" w:hint="eastAsia"/>
          <w:color w:val="000000"/>
          <w:sz w:val="28"/>
          <w:szCs w:val="32"/>
        </w:rPr>
        <w:t>本案租賃標的</w:t>
      </w:r>
      <w:r>
        <w:rPr>
          <w:rFonts w:eastAsia="標楷體" w:cs="標楷體" w:hint="eastAsia"/>
          <w:color w:val="000000"/>
          <w:sz w:val="28"/>
          <w:szCs w:val="32"/>
        </w:rPr>
        <w:t>(</w:t>
      </w:r>
      <w:r>
        <w:rPr>
          <w:rFonts w:eastAsia="標楷體" w:cs="標楷體" w:hint="eastAsia"/>
          <w:color w:val="000000"/>
          <w:sz w:val="28"/>
          <w:szCs w:val="32"/>
        </w:rPr>
        <w:t>清冊如附件</w:t>
      </w:r>
      <w:r>
        <w:rPr>
          <w:rFonts w:eastAsia="標楷體" w:cs="標楷體" w:hint="eastAsia"/>
          <w:color w:val="000000"/>
          <w:sz w:val="28"/>
          <w:szCs w:val="32"/>
        </w:rPr>
        <w:t>1 )</w:t>
      </w:r>
      <w:r w:rsidRPr="00073DED">
        <w:rPr>
          <w:rFonts w:eastAsia="標楷體"/>
          <w:color w:val="FF0000"/>
          <w:sz w:val="28"/>
          <w:szCs w:val="32"/>
        </w:rPr>
        <w:t>107</w:t>
      </w:r>
      <w:r w:rsidRPr="00073DED">
        <w:rPr>
          <w:rFonts w:eastAsia="標楷體" w:cs="標楷體" w:hint="eastAsia"/>
          <w:color w:val="FF0000"/>
          <w:sz w:val="28"/>
          <w:szCs w:val="32"/>
        </w:rPr>
        <w:t>年申報地價為</w:t>
      </w:r>
      <w:r w:rsidR="00073DED" w:rsidRPr="00073DED">
        <w:rPr>
          <w:rFonts w:eastAsia="標楷體" w:cs="標楷體" w:hint="eastAsia"/>
          <w:color w:val="FF0000"/>
          <w:sz w:val="28"/>
          <w:szCs w:val="32"/>
        </w:rPr>
        <w:t>○</w:t>
      </w:r>
      <w:r w:rsidRPr="00073DED">
        <w:rPr>
          <w:rFonts w:eastAsia="標楷體" w:cs="標楷體" w:hint="eastAsia"/>
          <w:color w:val="FF0000"/>
          <w:sz w:val="28"/>
          <w:szCs w:val="32"/>
        </w:rPr>
        <w:t>元</w:t>
      </w:r>
      <w:r w:rsidRPr="00073DED">
        <w:rPr>
          <w:rFonts w:eastAsia="標楷體" w:hint="eastAsia"/>
          <w:color w:val="FF0000"/>
          <w:sz w:val="28"/>
          <w:szCs w:val="32"/>
        </w:rPr>
        <w:t>/</w:t>
      </w:r>
      <w:r w:rsidRPr="00073DED">
        <w:rPr>
          <w:rFonts w:eastAsia="標楷體" w:cs="標楷體" w:hint="eastAsia"/>
          <w:color w:val="FF0000"/>
          <w:sz w:val="28"/>
          <w:szCs w:val="32"/>
        </w:rPr>
        <w:t>平方公尺</w:t>
      </w:r>
      <w:r>
        <w:rPr>
          <w:rFonts w:eastAsia="標楷體" w:cs="標楷體" w:hint="eastAsia"/>
          <w:color w:val="000000"/>
          <w:sz w:val="28"/>
          <w:szCs w:val="32"/>
        </w:rPr>
        <w:t>。</w:t>
      </w:r>
    </w:p>
    <w:p w:rsidR="00053F03" w:rsidRDefault="008820D2">
      <w:pPr>
        <w:pStyle w:val="a"/>
        <w:numPr>
          <w:ilvl w:val="0"/>
          <w:numId w:val="5"/>
        </w:numPr>
        <w:snapToGrid w:val="0"/>
        <w:spacing w:line="400" w:lineRule="exact"/>
        <w:ind w:left="561" w:hanging="561"/>
        <w:contextualSpacing/>
        <w:rPr>
          <w:rFonts w:hint="default"/>
        </w:rPr>
      </w:pPr>
      <w:r>
        <w:rPr>
          <w:rFonts w:ascii="Times New Roman" w:hAnsi="Times New Roman" w:cs="Times New Roman" w:hint="default"/>
          <w:color w:val="000000"/>
          <w:szCs w:val="28"/>
        </w:rPr>
        <w:t>投標文件領取：</w:t>
      </w:r>
    </w:p>
    <w:p w:rsidR="00053F03" w:rsidRDefault="008820D2">
      <w:pPr>
        <w:numPr>
          <w:ilvl w:val="0"/>
          <w:numId w:val="25"/>
        </w:numPr>
        <w:snapToGrid w:val="0"/>
        <w:spacing w:line="400" w:lineRule="exact"/>
        <w:contextualSpacing/>
        <w:jc w:val="both"/>
      </w:pPr>
      <w:r>
        <w:rPr>
          <w:rFonts w:eastAsia="標楷體" w:cs="標楷體"/>
          <w:color w:val="000000"/>
          <w:sz w:val="28"/>
          <w:szCs w:val="32"/>
        </w:rPr>
        <w:t>領標期限：詳標租公告。</w:t>
      </w:r>
    </w:p>
    <w:p w:rsidR="00053F03" w:rsidRDefault="008820D2">
      <w:pPr>
        <w:numPr>
          <w:ilvl w:val="0"/>
          <w:numId w:val="25"/>
        </w:numPr>
        <w:snapToGrid w:val="0"/>
        <w:spacing w:line="400" w:lineRule="exact"/>
        <w:contextualSpacing/>
        <w:jc w:val="both"/>
      </w:pPr>
      <w:r>
        <w:rPr>
          <w:rFonts w:eastAsia="標楷體" w:cs="標楷體"/>
          <w:color w:val="000000"/>
          <w:sz w:val="28"/>
          <w:szCs w:val="32"/>
        </w:rPr>
        <w:t>領標方式</w:t>
      </w:r>
      <w:r>
        <w:rPr>
          <w:rFonts w:eastAsia="標楷體" w:cs="標楷體" w:hint="eastAsia"/>
          <w:color w:val="000000"/>
          <w:sz w:val="28"/>
          <w:szCs w:val="32"/>
        </w:rPr>
        <w:t>及網址</w:t>
      </w:r>
      <w:r>
        <w:rPr>
          <w:rFonts w:eastAsia="標楷體" w:cs="標楷體"/>
          <w:color w:val="000000"/>
          <w:sz w:val="28"/>
          <w:szCs w:val="32"/>
        </w:rPr>
        <w:t>：</w:t>
      </w:r>
      <w:r>
        <w:rPr>
          <w:rFonts w:eastAsia="標楷體" w:cs="標楷體" w:hint="eastAsia"/>
          <w:color w:val="000000"/>
          <w:sz w:val="28"/>
          <w:szCs w:val="32"/>
        </w:rPr>
        <w:t>本</w:t>
      </w:r>
      <w:r w:rsidR="00BE6081">
        <w:rPr>
          <w:rFonts w:eastAsia="標楷體" w:cs="標楷體" w:hint="eastAsia"/>
          <w:color w:val="000000"/>
          <w:sz w:val="28"/>
          <w:szCs w:val="32"/>
        </w:rPr>
        <w:t>會</w:t>
      </w:r>
      <w:r>
        <w:rPr>
          <w:rFonts w:eastAsia="標楷體" w:cs="標楷體" w:hint="eastAsia"/>
          <w:color w:val="000000"/>
          <w:sz w:val="28"/>
          <w:szCs w:val="32"/>
        </w:rPr>
        <w:t>網頁下載</w:t>
      </w:r>
      <w:r w:rsidRPr="00BE6081">
        <w:rPr>
          <w:rFonts w:eastAsia="標楷體" w:cs="標楷體"/>
          <w:color w:val="FF0000"/>
          <w:sz w:val="28"/>
          <w:szCs w:val="28"/>
        </w:rPr>
        <w:t>http://</w:t>
      </w:r>
      <w:r w:rsidR="00BE6081" w:rsidRPr="00BE6081">
        <w:rPr>
          <w:rFonts w:eastAsia="標楷體" w:cs="標楷體" w:hint="eastAsia"/>
          <w:color w:val="FF0000"/>
          <w:sz w:val="28"/>
          <w:szCs w:val="28"/>
        </w:rPr>
        <w:t>○</w:t>
      </w:r>
    </w:p>
    <w:p w:rsidR="00053F03" w:rsidRDefault="008820D2">
      <w:pPr>
        <w:pStyle w:val="a"/>
        <w:numPr>
          <w:ilvl w:val="0"/>
          <w:numId w:val="5"/>
        </w:numPr>
        <w:snapToGrid w:val="0"/>
        <w:spacing w:line="400" w:lineRule="exact"/>
        <w:ind w:left="561" w:hanging="561"/>
        <w:contextualSpacing/>
        <w:rPr>
          <w:rFonts w:hint="default"/>
        </w:rPr>
      </w:pPr>
      <w:r>
        <w:rPr>
          <w:rFonts w:ascii="Times New Roman" w:hAnsi="Times New Roman" w:cs="Times New Roman" w:hint="default"/>
          <w:color w:val="000000"/>
          <w:szCs w:val="28"/>
        </w:rPr>
        <w:t>投標廠商所須文件之裝封：</w:t>
      </w:r>
    </w:p>
    <w:p w:rsidR="00053F03" w:rsidRDefault="008820D2">
      <w:pPr>
        <w:snapToGrid w:val="0"/>
        <w:spacing w:line="400" w:lineRule="exact"/>
        <w:ind w:left="480"/>
        <w:contextualSpacing/>
        <w:jc w:val="both"/>
      </w:pPr>
      <w:r>
        <w:rPr>
          <w:rFonts w:eastAsia="標楷體" w:cs="標楷體"/>
          <w:color w:val="000000"/>
          <w:sz w:val="28"/>
          <w:szCs w:val="28"/>
        </w:rPr>
        <w:t>投標應備文件包括下列各項，投標前應逐一填妥簽章，封套外部須書明投標廠商名稱、住址、標租標的</w:t>
      </w:r>
      <w:r>
        <w:rPr>
          <w:rFonts w:ascii="標楷體" w:eastAsia="標楷體" w:hAnsi="標楷體" w:cs="標楷體" w:hint="eastAsia"/>
          <w:color w:val="000000"/>
          <w:sz w:val="28"/>
          <w:szCs w:val="28"/>
        </w:rPr>
        <w:t>；</w:t>
      </w:r>
      <w:r>
        <w:rPr>
          <w:rFonts w:eastAsia="標楷體" w:cs="標楷體"/>
          <w:color w:val="000000"/>
          <w:sz w:val="28"/>
          <w:szCs w:val="28"/>
        </w:rPr>
        <w:t>凡投標文件</w:t>
      </w:r>
      <w:r>
        <w:rPr>
          <w:rFonts w:eastAsia="標楷體" w:cs="標楷體" w:hint="eastAsia"/>
          <w:color w:val="000000"/>
          <w:sz w:val="28"/>
          <w:szCs w:val="28"/>
        </w:rPr>
        <w:t>未附下列文件之第</w:t>
      </w:r>
      <w:r>
        <w:rPr>
          <w:rFonts w:eastAsia="標楷體" w:cs="標楷體" w:hint="eastAsia"/>
          <w:color w:val="000000"/>
          <w:sz w:val="28"/>
          <w:szCs w:val="28"/>
        </w:rPr>
        <w:t>(</w:t>
      </w:r>
      <w:r>
        <w:rPr>
          <w:rFonts w:eastAsia="標楷體" w:cs="標楷體" w:hint="eastAsia"/>
          <w:color w:val="000000"/>
          <w:sz w:val="28"/>
          <w:szCs w:val="28"/>
        </w:rPr>
        <w:t>二</w:t>
      </w:r>
      <w:r>
        <w:rPr>
          <w:rFonts w:eastAsia="標楷體" w:cs="標楷體" w:hint="eastAsia"/>
          <w:color w:val="000000"/>
          <w:sz w:val="28"/>
          <w:szCs w:val="28"/>
        </w:rPr>
        <w:t>)</w:t>
      </w:r>
      <w:r>
        <w:rPr>
          <w:rFonts w:eastAsia="標楷體" w:cs="標楷體" w:hint="eastAsia"/>
          <w:color w:val="000000"/>
          <w:sz w:val="28"/>
          <w:szCs w:val="28"/>
        </w:rPr>
        <w:t>項、第</w:t>
      </w:r>
      <w:r>
        <w:rPr>
          <w:rFonts w:eastAsia="標楷體" w:cs="標楷體" w:hint="eastAsia"/>
          <w:color w:val="000000"/>
          <w:sz w:val="28"/>
          <w:szCs w:val="28"/>
        </w:rPr>
        <w:t>(</w:t>
      </w:r>
      <w:r>
        <w:rPr>
          <w:rFonts w:eastAsia="標楷體" w:cs="標楷體" w:hint="eastAsia"/>
          <w:color w:val="000000"/>
          <w:sz w:val="28"/>
          <w:szCs w:val="28"/>
        </w:rPr>
        <w:t>三</w:t>
      </w:r>
      <w:r>
        <w:rPr>
          <w:rFonts w:eastAsia="標楷體" w:cs="標楷體" w:hint="eastAsia"/>
          <w:color w:val="000000"/>
          <w:sz w:val="28"/>
          <w:szCs w:val="28"/>
        </w:rPr>
        <w:t>)</w:t>
      </w:r>
      <w:r>
        <w:rPr>
          <w:rFonts w:eastAsia="標楷體" w:cs="標楷體" w:hint="eastAsia"/>
          <w:color w:val="000000"/>
          <w:sz w:val="28"/>
          <w:szCs w:val="28"/>
        </w:rPr>
        <w:t>項</w:t>
      </w:r>
      <w:r>
        <w:rPr>
          <w:rFonts w:ascii="標楷體" w:eastAsia="標楷體" w:hAnsi="標楷體" w:cs="標楷體" w:hint="eastAsia"/>
          <w:color w:val="000000"/>
          <w:sz w:val="28"/>
          <w:szCs w:val="28"/>
        </w:rPr>
        <w:t>、</w:t>
      </w:r>
      <w:r>
        <w:rPr>
          <w:rFonts w:eastAsia="標楷體" w:cs="標楷體" w:hint="eastAsia"/>
          <w:color w:val="000000"/>
          <w:sz w:val="28"/>
          <w:szCs w:val="28"/>
        </w:rPr>
        <w:t>第</w:t>
      </w:r>
      <w:r>
        <w:rPr>
          <w:rFonts w:eastAsia="標楷體" w:cs="標楷體" w:hint="eastAsia"/>
          <w:color w:val="000000"/>
          <w:sz w:val="28"/>
          <w:szCs w:val="28"/>
        </w:rPr>
        <w:t>(</w:t>
      </w:r>
      <w:r>
        <w:rPr>
          <w:rFonts w:eastAsia="標楷體" w:cs="標楷體" w:hint="eastAsia"/>
          <w:color w:val="000000"/>
          <w:sz w:val="28"/>
          <w:szCs w:val="28"/>
        </w:rPr>
        <w:t>七</w:t>
      </w:r>
      <w:r>
        <w:rPr>
          <w:rFonts w:eastAsia="標楷體" w:cs="標楷體" w:hint="eastAsia"/>
          <w:color w:val="000000"/>
          <w:sz w:val="28"/>
          <w:szCs w:val="28"/>
        </w:rPr>
        <w:t>)</w:t>
      </w:r>
      <w:r>
        <w:rPr>
          <w:rFonts w:eastAsia="標楷體" w:cs="標楷體" w:hint="eastAsia"/>
          <w:color w:val="000000"/>
          <w:sz w:val="28"/>
          <w:szCs w:val="28"/>
        </w:rPr>
        <w:t>項</w:t>
      </w:r>
      <w:r>
        <w:rPr>
          <w:rFonts w:ascii="標楷體" w:eastAsia="標楷體" w:hAnsi="標楷體" w:cs="標楷體" w:hint="eastAsia"/>
          <w:color w:val="000000"/>
          <w:sz w:val="28"/>
          <w:szCs w:val="28"/>
        </w:rPr>
        <w:t>、</w:t>
      </w:r>
      <w:r>
        <w:rPr>
          <w:rFonts w:eastAsia="標楷體" w:cs="標楷體" w:hint="eastAsia"/>
          <w:color w:val="000000"/>
          <w:sz w:val="28"/>
          <w:szCs w:val="28"/>
        </w:rPr>
        <w:t>第</w:t>
      </w:r>
      <w:r>
        <w:rPr>
          <w:rFonts w:eastAsia="標楷體" w:cs="標楷體" w:hint="eastAsia"/>
          <w:color w:val="000000"/>
          <w:sz w:val="28"/>
          <w:szCs w:val="28"/>
        </w:rPr>
        <w:t>(</w:t>
      </w:r>
      <w:r>
        <w:rPr>
          <w:rFonts w:eastAsia="標楷體" w:cs="標楷體" w:hint="eastAsia"/>
          <w:color w:val="000000"/>
          <w:sz w:val="28"/>
          <w:szCs w:val="28"/>
        </w:rPr>
        <w:t>八</w:t>
      </w:r>
      <w:r>
        <w:rPr>
          <w:rFonts w:eastAsia="標楷體" w:cs="標楷體" w:hint="eastAsia"/>
          <w:color w:val="000000"/>
          <w:sz w:val="28"/>
          <w:szCs w:val="28"/>
        </w:rPr>
        <w:t>)</w:t>
      </w:r>
      <w:r>
        <w:rPr>
          <w:rFonts w:eastAsia="標楷體" w:cs="標楷體" w:hint="eastAsia"/>
          <w:color w:val="000000"/>
          <w:sz w:val="28"/>
          <w:szCs w:val="28"/>
        </w:rPr>
        <w:t>項及第</w:t>
      </w:r>
      <w:r>
        <w:rPr>
          <w:rFonts w:eastAsia="標楷體" w:cs="標楷體" w:hint="eastAsia"/>
          <w:color w:val="000000"/>
          <w:sz w:val="28"/>
          <w:szCs w:val="28"/>
        </w:rPr>
        <w:t>(</w:t>
      </w:r>
      <w:r>
        <w:rPr>
          <w:rFonts w:eastAsia="標楷體" w:cs="標楷體" w:hint="eastAsia"/>
          <w:color w:val="000000"/>
          <w:sz w:val="28"/>
          <w:szCs w:val="28"/>
        </w:rPr>
        <w:t>九</w:t>
      </w:r>
      <w:r>
        <w:rPr>
          <w:rFonts w:eastAsia="標楷體" w:cs="標楷體" w:hint="eastAsia"/>
          <w:color w:val="000000"/>
          <w:sz w:val="28"/>
          <w:szCs w:val="28"/>
        </w:rPr>
        <w:t>)</w:t>
      </w:r>
      <w:r>
        <w:rPr>
          <w:rFonts w:eastAsia="標楷體" w:cs="標楷體" w:hint="eastAsia"/>
          <w:color w:val="000000"/>
          <w:sz w:val="28"/>
          <w:szCs w:val="28"/>
        </w:rPr>
        <w:t>項者，</w:t>
      </w:r>
      <w:r>
        <w:rPr>
          <w:rFonts w:eastAsia="標楷體" w:cs="標楷體"/>
          <w:color w:val="000000"/>
          <w:sz w:val="28"/>
          <w:szCs w:val="28"/>
        </w:rPr>
        <w:t>所投之標為無效標。</w:t>
      </w:r>
    </w:p>
    <w:p w:rsidR="00053F03" w:rsidRDefault="008820D2">
      <w:pPr>
        <w:numPr>
          <w:ilvl w:val="0"/>
          <w:numId w:val="6"/>
        </w:numPr>
        <w:snapToGrid w:val="0"/>
        <w:spacing w:line="400" w:lineRule="exact"/>
        <w:contextualSpacing/>
        <w:jc w:val="both"/>
      </w:pPr>
      <w:r>
        <w:rPr>
          <w:rFonts w:eastAsia="標楷體" w:cs="標楷體"/>
          <w:color w:val="000000"/>
          <w:sz w:val="28"/>
          <w:szCs w:val="32"/>
        </w:rPr>
        <w:t>資格審查表</w:t>
      </w:r>
      <w:r>
        <w:rPr>
          <w:rFonts w:eastAsia="標楷體" w:cs="標楷體"/>
          <w:color w:val="000000"/>
          <w:sz w:val="28"/>
          <w:szCs w:val="32"/>
        </w:rPr>
        <w:t>(</w:t>
      </w:r>
      <w:r>
        <w:rPr>
          <w:rFonts w:eastAsia="標楷體" w:cs="標楷體"/>
          <w:color w:val="000000"/>
          <w:sz w:val="28"/>
          <w:szCs w:val="32"/>
        </w:rPr>
        <w:t>附件</w:t>
      </w:r>
      <w:r>
        <w:rPr>
          <w:rFonts w:eastAsia="標楷體" w:cs="標楷體" w:hint="eastAsia"/>
          <w:color w:val="000000"/>
          <w:sz w:val="28"/>
          <w:szCs w:val="32"/>
        </w:rPr>
        <w:t>4</w:t>
      </w:r>
      <w:r>
        <w:rPr>
          <w:rFonts w:eastAsia="標楷體" w:cs="標楷體"/>
          <w:color w:val="000000"/>
          <w:sz w:val="28"/>
          <w:szCs w:val="32"/>
        </w:rPr>
        <w:t>)</w:t>
      </w:r>
      <w:r>
        <w:rPr>
          <w:rFonts w:eastAsia="標楷體" w:cs="標楷體"/>
          <w:color w:val="000000"/>
          <w:sz w:val="28"/>
          <w:szCs w:val="32"/>
        </w:rPr>
        <w:t>：</w:t>
      </w:r>
      <w:r>
        <w:rPr>
          <w:rFonts w:eastAsia="標楷體" w:cs="標楷體"/>
          <w:color w:val="000000"/>
          <w:sz w:val="28"/>
          <w:szCs w:val="32"/>
        </w:rPr>
        <w:t>1</w:t>
      </w:r>
      <w:r>
        <w:rPr>
          <w:rFonts w:eastAsia="標楷體" w:cs="標楷體"/>
          <w:color w:val="000000"/>
          <w:sz w:val="28"/>
          <w:szCs w:val="32"/>
        </w:rPr>
        <w:t>式</w:t>
      </w:r>
      <w:r>
        <w:rPr>
          <w:rFonts w:eastAsia="標楷體" w:cs="標楷體"/>
          <w:color w:val="000000"/>
          <w:sz w:val="28"/>
          <w:szCs w:val="32"/>
        </w:rPr>
        <w:t>1</w:t>
      </w:r>
      <w:r>
        <w:rPr>
          <w:rFonts w:eastAsia="標楷體" w:cs="標楷體"/>
          <w:color w:val="000000"/>
          <w:sz w:val="28"/>
          <w:szCs w:val="32"/>
        </w:rPr>
        <w:t>份。</w:t>
      </w:r>
    </w:p>
    <w:p w:rsidR="00053F03" w:rsidRDefault="008820D2">
      <w:pPr>
        <w:numPr>
          <w:ilvl w:val="0"/>
          <w:numId w:val="6"/>
        </w:numPr>
        <w:snapToGrid w:val="0"/>
        <w:spacing w:line="400" w:lineRule="exact"/>
        <w:contextualSpacing/>
        <w:jc w:val="both"/>
      </w:pPr>
      <w:r>
        <w:rPr>
          <w:rFonts w:eastAsia="標楷體" w:cs="標楷體"/>
          <w:color w:val="000000"/>
          <w:sz w:val="28"/>
          <w:szCs w:val="32"/>
        </w:rPr>
        <w:t>依本投標須知規定之資格證明文件：各</w:t>
      </w:r>
      <w:r>
        <w:rPr>
          <w:rFonts w:eastAsia="標楷體" w:cs="標楷體"/>
          <w:color w:val="000000"/>
          <w:sz w:val="28"/>
          <w:szCs w:val="32"/>
        </w:rPr>
        <w:t>1</w:t>
      </w:r>
      <w:r>
        <w:rPr>
          <w:rFonts w:eastAsia="標楷體" w:cs="標楷體"/>
          <w:color w:val="000000"/>
          <w:sz w:val="28"/>
          <w:szCs w:val="32"/>
        </w:rPr>
        <w:t>式</w:t>
      </w:r>
      <w:r>
        <w:rPr>
          <w:rFonts w:eastAsia="標楷體" w:cs="標楷體"/>
          <w:color w:val="000000"/>
          <w:sz w:val="28"/>
          <w:szCs w:val="32"/>
        </w:rPr>
        <w:t>1</w:t>
      </w:r>
      <w:r>
        <w:rPr>
          <w:rFonts w:eastAsia="標楷體" w:cs="標楷體"/>
          <w:color w:val="000000"/>
          <w:sz w:val="28"/>
          <w:szCs w:val="32"/>
        </w:rPr>
        <w:t>份。</w:t>
      </w:r>
    </w:p>
    <w:p w:rsidR="00053F03" w:rsidRDefault="008820D2">
      <w:pPr>
        <w:numPr>
          <w:ilvl w:val="0"/>
          <w:numId w:val="6"/>
        </w:numPr>
        <w:snapToGrid w:val="0"/>
        <w:spacing w:line="400" w:lineRule="exact"/>
        <w:contextualSpacing/>
        <w:jc w:val="both"/>
      </w:pPr>
      <w:r>
        <w:rPr>
          <w:rFonts w:eastAsia="標楷體" w:cs="標楷體"/>
          <w:color w:val="000000"/>
          <w:sz w:val="28"/>
          <w:szCs w:val="32"/>
        </w:rPr>
        <w:t>切結書</w:t>
      </w:r>
      <w:r>
        <w:rPr>
          <w:rFonts w:eastAsia="標楷體" w:cs="標楷體"/>
          <w:color w:val="000000"/>
          <w:sz w:val="28"/>
          <w:szCs w:val="32"/>
        </w:rPr>
        <w:t>(</w:t>
      </w:r>
      <w:r>
        <w:rPr>
          <w:rFonts w:eastAsia="標楷體" w:cs="標楷體"/>
          <w:color w:val="000000"/>
          <w:sz w:val="28"/>
          <w:szCs w:val="32"/>
        </w:rPr>
        <w:t>附件</w:t>
      </w:r>
      <w:r>
        <w:rPr>
          <w:rFonts w:eastAsia="標楷體" w:cs="標楷體"/>
          <w:color w:val="000000"/>
          <w:sz w:val="28"/>
          <w:szCs w:val="32"/>
        </w:rPr>
        <w:t>5)</w:t>
      </w:r>
      <w:r>
        <w:rPr>
          <w:rFonts w:eastAsia="標楷體" w:cs="標楷體"/>
          <w:color w:val="000000"/>
          <w:sz w:val="28"/>
          <w:szCs w:val="32"/>
        </w:rPr>
        <w:t>：</w:t>
      </w:r>
      <w:r>
        <w:rPr>
          <w:rFonts w:eastAsia="標楷體" w:cs="標楷體"/>
          <w:color w:val="000000"/>
          <w:sz w:val="28"/>
          <w:szCs w:val="32"/>
        </w:rPr>
        <w:t>1</w:t>
      </w:r>
      <w:r>
        <w:rPr>
          <w:rFonts w:eastAsia="標楷體" w:cs="標楷體"/>
          <w:color w:val="000000"/>
          <w:sz w:val="28"/>
          <w:szCs w:val="32"/>
        </w:rPr>
        <w:t>式</w:t>
      </w:r>
      <w:r>
        <w:rPr>
          <w:rFonts w:eastAsia="標楷體" w:cs="標楷體"/>
          <w:color w:val="000000"/>
          <w:sz w:val="28"/>
          <w:szCs w:val="32"/>
        </w:rPr>
        <w:t>1</w:t>
      </w:r>
      <w:r>
        <w:rPr>
          <w:rFonts w:eastAsia="標楷體" w:cs="標楷體"/>
          <w:color w:val="000000"/>
          <w:sz w:val="28"/>
          <w:szCs w:val="32"/>
        </w:rPr>
        <w:t>份。</w:t>
      </w:r>
    </w:p>
    <w:p w:rsidR="00053F03" w:rsidRDefault="008820D2">
      <w:pPr>
        <w:numPr>
          <w:ilvl w:val="0"/>
          <w:numId w:val="6"/>
        </w:numPr>
        <w:snapToGrid w:val="0"/>
        <w:spacing w:line="400" w:lineRule="exact"/>
        <w:contextualSpacing/>
        <w:jc w:val="both"/>
      </w:pPr>
      <w:r>
        <w:rPr>
          <w:rFonts w:eastAsia="標楷體" w:cs="標楷體"/>
          <w:color w:val="000000"/>
          <w:sz w:val="28"/>
          <w:szCs w:val="32"/>
        </w:rPr>
        <w:lastRenderedPageBreak/>
        <w:t>委託代理授權書（無授權者免附）</w:t>
      </w:r>
      <w:r>
        <w:rPr>
          <w:rFonts w:eastAsia="標楷體" w:cs="標楷體"/>
          <w:color w:val="000000"/>
          <w:sz w:val="28"/>
          <w:szCs w:val="32"/>
        </w:rPr>
        <w:t>(</w:t>
      </w:r>
      <w:r>
        <w:rPr>
          <w:rFonts w:eastAsia="標楷體" w:cs="標楷體"/>
          <w:color w:val="000000"/>
          <w:sz w:val="28"/>
          <w:szCs w:val="32"/>
        </w:rPr>
        <w:t>附件</w:t>
      </w:r>
      <w:r>
        <w:rPr>
          <w:rFonts w:eastAsia="標楷體" w:cs="標楷體" w:hint="eastAsia"/>
          <w:color w:val="000000"/>
          <w:sz w:val="28"/>
          <w:szCs w:val="32"/>
        </w:rPr>
        <w:t>6</w:t>
      </w:r>
      <w:r>
        <w:rPr>
          <w:rFonts w:eastAsia="標楷體" w:cs="標楷體"/>
          <w:color w:val="000000"/>
          <w:sz w:val="28"/>
          <w:szCs w:val="32"/>
        </w:rPr>
        <w:t>)</w:t>
      </w:r>
      <w:r>
        <w:rPr>
          <w:rFonts w:eastAsia="標楷體" w:cs="標楷體"/>
          <w:color w:val="000000"/>
          <w:sz w:val="28"/>
          <w:szCs w:val="32"/>
        </w:rPr>
        <w:t>：</w:t>
      </w:r>
      <w:r>
        <w:rPr>
          <w:rFonts w:eastAsia="標楷體" w:cs="標楷體"/>
          <w:color w:val="000000"/>
          <w:sz w:val="28"/>
          <w:szCs w:val="32"/>
        </w:rPr>
        <w:t>1</w:t>
      </w:r>
      <w:r>
        <w:rPr>
          <w:rFonts w:eastAsia="標楷體" w:cs="標楷體"/>
          <w:color w:val="000000"/>
          <w:sz w:val="28"/>
          <w:szCs w:val="32"/>
        </w:rPr>
        <w:t>式</w:t>
      </w:r>
      <w:r>
        <w:rPr>
          <w:rFonts w:eastAsia="標楷體" w:cs="標楷體"/>
          <w:color w:val="000000"/>
          <w:sz w:val="28"/>
          <w:szCs w:val="32"/>
        </w:rPr>
        <w:t>1</w:t>
      </w:r>
      <w:r>
        <w:rPr>
          <w:rFonts w:eastAsia="標楷體" w:cs="標楷體"/>
          <w:color w:val="000000"/>
          <w:sz w:val="28"/>
          <w:szCs w:val="32"/>
        </w:rPr>
        <w:t>份。</w:t>
      </w:r>
    </w:p>
    <w:p w:rsidR="00053F03" w:rsidRDefault="008820D2">
      <w:pPr>
        <w:numPr>
          <w:ilvl w:val="0"/>
          <w:numId w:val="6"/>
        </w:numPr>
        <w:snapToGrid w:val="0"/>
        <w:spacing w:line="400" w:lineRule="exact"/>
        <w:contextualSpacing/>
        <w:jc w:val="both"/>
      </w:pPr>
      <w:r>
        <w:rPr>
          <w:rFonts w:eastAsia="標楷體" w:cs="標楷體"/>
          <w:color w:val="000000"/>
          <w:sz w:val="28"/>
          <w:szCs w:val="32"/>
        </w:rPr>
        <w:t>退還押標金申請書</w:t>
      </w:r>
      <w:r>
        <w:rPr>
          <w:rFonts w:eastAsia="標楷體" w:cs="標楷體"/>
          <w:color w:val="000000"/>
          <w:sz w:val="28"/>
          <w:szCs w:val="32"/>
        </w:rPr>
        <w:t>(</w:t>
      </w:r>
      <w:r>
        <w:rPr>
          <w:rFonts w:eastAsia="標楷體" w:cs="標楷體"/>
          <w:color w:val="000000"/>
          <w:sz w:val="28"/>
          <w:szCs w:val="32"/>
        </w:rPr>
        <w:t>附件</w:t>
      </w:r>
      <w:r>
        <w:rPr>
          <w:rFonts w:eastAsia="標楷體" w:cs="標楷體" w:hint="eastAsia"/>
          <w:color w:val="000000"/>
          <w:sz w:val="28"/>
          <w:szCs w:val="32"/>
        </w:rPr>
        <w:t>7</w:t>
      </w:r>
      <w:r>
        <w:rPr>
          <w:rFonts w:eastAsia="標楷體" w:cs="標楷體"/>
          <w:color w:val="000000"/>
          <w:sz w:val="28"/>
          <w:szCs w:val="32"/>
        </w:rPr>
        <w:t>)</w:t>
      </w:r>
      <w:r>
        <w:rPr>
          <w:rFonts w:eastAsia="標楷體" w:cs="標楷體"/>
          <w:color w:val="000000"/>
          <w:sz w:val="28"/>
          <w:szCs w:val="32"/>
        </w:rPr>
        <w:t>：</w:t>
      </w:r>
      <w:r>
        <w:rPr>
          <w:rFonts w:eastAsia="標楷體" w:cs="標楷體"/>
          <w:color w:val="000000"/>
          <w:sz w:val="28"/>
          <w:szCs w:val="32"/>
        </w:rPr>
        <w:t>1</w:t>
      </w:r>
      <w:r>
        <w:rPr>
          <w:rFonts w:eastAsia="標楷體" w:cs="標楷體"/>
          <w:color w:val="000000"/>
          <w:sz w:val="28"/>
          <w:szCs w:val="32"/>
        </w:rPr>
        <w:t>式</w:t>
      </w:r>
      <w:r>
        <w:rPr>
          <w:rFonts w:eastAsia="標楷體" w:cs="標楷體"/>
          <w:color w:val="000000"/>
          <w:sz w:val="28"/>
          <w:szCs w:val="32"/>
        </w:rPr>
        <w:t>1</w:t>
      </w:r>
      <w:r>
        <w:rPr>
          <w:rFonts w:eastAsia="標楷體" w:cs="標楷體"/>
          <w:color w:val="000000"/>
          <w:sz w:val="28"/>
          <w:szCs w:val="32"/>
        </w:rPr>
        <w:t>份。</w:t>
      </w:r>
    </w:p>
    <w:p w:rsidR="00053F03" w:rsidRDefault="008820D2">
      <w:pPr>
        <w:numPr>
          <w:ilvl w:val="0"/>
          <w:numId w:val="6"/>
        </w:numPr>
        <w:snapToGrid w:val="0"/>
        <w:spacing w:line="400" w:lineRule="exact"/>
        <w:contextualSpacing/>
        <w:jc w:val="both"/>
      </w:pPr>
      <w:r>
        <w:rPr>
          <w:rFonts w:eastAsia="標楷體" w:cs="標楷體"/>
          <w:color w:val="000000"/>
          <w:sz w:val="28"/>
          <w:szCs w:val="32"/>
        </w:rPr>
        <w:t>押標金轉作履約保證金同意書（無轉作者免附）</w:t>
      </w:r>
      <w:r>
        <w:rPr>
          <w:rFonts w:eastAsia="標楷體" w:cs="標楷體"/>
          <w:color w:val="000000"/>
          <w:sz w:val="28"/>
          <w:szCs w:val="32"/>
        </w:rPr>
        <w:t>(</w:t>
      </w:r>
      <w:r>
        <w:rPr>
          <w:rFonts w:eastAsia="標楷體" w:cs="標楷體"/>
          <w:color w:val="000000"/>
          <w:sz w:val="28"/>
          <w:szCs w:val="32"/>
        </w:rPr>
        <w:t>附件</w:t>
      </w:r>
      <w:r>
        <w:rPr>
          <w:rFonts w:eastAsia="標楷體" w:cs="標楷體" w:hint="eastAsia"/>
          <w:color w:val="000000"/>
          <w:sz w:val="28"/>
          <w:szCs w:val="32"/>
        </w:rPr>
        <w:t>8</w:t>
      </w:r>
      <w:r>
        <w:rPr>
          <w:rFonts w:eastAsia="標楷體" w:cs="標楷體"/>
          <w:color w:val="000000"/>
          <w:sz w:val="28"/>
          <w:szCs w:val="32"/>
        </w:rPr>
        <w:t>)</w:t>
      </w:r>
      <w:r>
        <w:rPr>
          <w:rFonts w:eastAsia="標楷體" w:cs="標楷體"/>
          <w:color w:val="000000"/>
          <w:sz w:val="28"/>
          <w:szCs w:val="32"/>
        </w:rPr>
        <w:t>：</w:t>
      </w:r>
      <w:r>
        <w:rPr>
          <w:rFonts w:eastAsia="標楷體" w:cs="標楷體"/>
          <w:color w:val="000000"/>
          <w:sz w:val="28"/>
          <w:szCs w:val="32"/>
        </w:rPr>
        <w:t>1</w:t>
      </w:r>
      <w:r>
        <w:rPr>
          <w:rFonts w:eastAsia="標楷體" w:cs="標楷體"/>
          <w:color w:val="000000"/>
          <w:sz w:val="28"/>
          <w:szCs w:val="32"/>
        </w:rPr>
        <w:t>式</w:t>
      </w:r>
      <w:r>
        <w:rPr>
          <w:rFonts w:eastAsia="標楷體" w:cs="標楷體"/>
          <w:color w:val="000000"/>
          <w:sz w:val="28"/>
          <w:szCs w:val="32"/>
        </w:rPr>
        <w:t>1</w:t>
      </w:r>
      <w:r>
        <w:rPr>
          <w:rFonts w:eastAsia="標楷體" w:cs="標楷體"/>
          <w:color w:val="000000"/>
          <w:sz w:val="28"/>
          <w:szCs w:val="32"/>
        </w:rPr>
        <w:t>份。</w:t>
      </w:r>
    </w:p>
    <w:p w:rsidR="00053F03" w:rsidRDefault="008820D2">
      <w:pPr>
        <w:numPr>
          <w:ilvl w:val="0"/>
          <w:numId w:val="6"/>
        </w:numPr>
        <w:snapToGrid w:val="0"/>
        <w:spacing w:line="400" w:lineRule="exact"/>
        <w:contextualSpacing/>
        <w:jc w:val="both"/>
      </w:pPr>
      <w:r>
        <w:rPr>
          <w:rFonts w:eastAsia="標楷體" w:cs="標楷體"/>
          <w:color w:val="000000"/>
          <w:sz w:val="28"/>
          <w:szCs w:val="32"/>
        </w:rPr>
        <w:t>押標金票據：</w:t>
      </w:r>
      <w:r>
        <w:rPr>
          <w:rFonts w:eastAsia="標楷體" w:cs="標楷體"/>
          <w:color w:val="000000"/>
          <w:sz w:val="28"/>
          <w:szCs w:val="32"/>
        </w:rPr>
        <w:t>1</w:t>
      </w:r>
      <w:r>
        <w:rPr>
          <w:rFonts w:eastAsia="標楷體" w:cs="標楷體"/>
          <w:color w:val="000000"/>
          <w:sz w:val="28"/>
          <w:szCs w:val="32"/>
        </w:rPr>
        <w:t>式</w:t>
      </w:r>
      <w:r>
        <w:rPr>
          <w:rFonts w:eastAsia="標楷體" w:cs="標楷體"/>
          <w:color w:val="000000"/>
          <w:sz w:val="28"/>
          <w:szCs w:val="32"/>
        </w:rPr>
        <w:t>1</w:t>
      </w:r>
      <w:r>
        <w:rPr>
          <w:rFonts w:eastAsia="標楷體" w:cs="標楷體"/>
          <w:color w:val="000000"/>
          <w:sz w:val="28"/>
          <w:szCs w:val="32"/>
        </w:rPr>
        <w:t>份。</w:t>
      </w:r>
    </w:p>
    <w:p w:rsidR="00053F03" w:rsidRDefault="008820D2">
      <w:pPr>
        <w:numPr>
          <w:ilvl w:val="0"/>
          <w:numId w:val="6"/>
        </w:numPr>
        <w:snapToGrid w:val="0"/>
        <w:spacing w:line="400" w:lineRule="exact"/>
        <w:contextualSpacing/>
        <w:jc w:val="both"/>
      </w:pPr>
      <w:r>
        <w:rPr>
          <w:rFonts w:eastAsia="標楷體" w:cs="標楷體"/>
          <w:color w:val="000000"/>
          <w:sz w:val="28"/>
          <w:szCs w:val="32"/>
        </w:rPr>
        <w:t>投標單</w:t>
      </w:r>
      <w:r>
        <w:rPr>
          <w:rFonts w:eastAsia="標楷體" w:cs="標楷體"/>
          <w:color w:val="000000"/>
          <w:sz w:val="28"/>
          <w:szCs w:val="32"/>
        </w:rPr>
        <w:t>(</w:t>
      </w:r>
      <w:r>
        <w:rPr>
          <w:rFonts w:eastAsia="標楷體" w:cs="標楷體"/>
          <w:color w:val="000000"/>
          <w:sz w:val="28"/>
          <w:szCs w:val="32"/>
        </w:rPr>
        <w:t>附件</w:t>
      </w:r>
      <w:r>
        <w:rPr>
          <w:rFonts w:eastAsia="標楷體" w:cs="標楷體" w:hint="eastAsia"/>
          <w:color w:val="000000"/>
          <w:sz w:val="28"/>
          <w:szCs w:val="32"/>
        </w:rPr>
        <w:t>9</w:t>
      </w:r>
      <w:r>
        <w:rPr>
          <w:rFonts w:eastAsia="標楷體" w:cs="標楷體"/>
          <w:color w:val="000000"/>
          <w:sz w:val="28"/>
          <w:szCs w:val="32"/>
        </w:rPr>
        <w:t>)</w:t>
      </w:r>
      <w:r>
        <w:rPr>
          <w:rFonts w:eastAsia="標楷體" w:cs="標楷體"/>
          <w:color w:val="000000"/>
          <w:sz w:val="28"/>
          <w:szCs w:val="32"/>
        </w:rPr>
        <w:t>：</w:t>
      </w:r>
      <w:r>
        <w:rPr>
          <w:rFonts w:eastAsia="標楷體" w:cs="標楷體"/>
          <w:color w:val="000000"/>
          <w:sz w:val="28"/>
          <w:szCs w:val="32"/>
        </w:rPr>
        <w:t>1</w:t>
      </w:r>
      <w:r>
        <w:rPr>
          <w:rFonts w:eastAsia="標楷體" w:cs="標楷體"/>
          <w:color w:val="000000"/>
          <w:sz w:val="28"/>
          <w:szCs w:val="32"/>
        </w:rPr>
        <w:t>式</w:t>
      </w:r>
      <w:r>
        <w:rPr>
          <w:rFonts w:eastAsia="標楷體" w:cs="標楷體"/>
          <w:color w:val="000000"/>
          <w:sz w:val="28"/>
          <w:szCs w:val="32"/>
        </w:rPr>
        <w:t>1</w:t>
      </w:r>
      <w:r>
        <w:rPr>
          <w:rFonts w:eastAsia="標楷體" w:cs="標楷體"/>
          <w:color w:val="000000"/>
          <w:sz w:val="28"/>
          <w:szCs w:val="32"/>
        </w:rPr>
        <w:t>份。</w:t>
      </w:r>
    </w:p>
    <w:p w:rsidR="00053F03" w:rsidRDefault="008820D2">
      <w:pPr>
        <w:numPr>
          <w:ilvl w:val="0"/>
          <w:numId w:val="6"/>
        </w:numPr>
        <w:snapToGrid w:val="0"/>
        <w:spacing w:line="400" w:lineRule="exact"/>
        <w:contextualSpacing/>
        <w:jc w:val="both"/>
      </w:pPr>
      <w:r>
        <w:rPr>
          <w:rFonts w:eastAsia="標楷體" w:cs="標楷體"/>
          <w:color w:val="000000"/>
          <w:sz w:val="28"/>
          <w:szCs w:val="32"/>
        </w:rPr>
        <w:t>設置使用計畫書：</w:t>
      </w:r>
      <w:r>
        <w:rPr>
          <w:rFonts w:eastAsia="標楷體" w:cs="標楷體" w:hint="eastAsia"/>
          <w:color w:val="000000"/>
          <w:sz w:val="28"/>
          <w:szCs w:val="32"/>
        </w:rPr>
        <w:t>參考評選須知</w:t>
      </w:r>
      <w:r>
        <w:rPr>
          <w:rFonts w:eastAsia="標楷體" w:cs="標楷體" w:hint="eastAsia"/>
          <w:color w:val="000000"/>
          <w:sz w:val="28"/>
          <w:szCs w:val="32"/>
        </w:rPr>
        <w:t>(</w:t>
      </w:r>
      <w:r>
        <w:rPr>
          <w:rFonts w:eastAsia="標楷體" w:cs="標楷體" w:hint="eastAsia"/>
          <w:color w:val="000000"/>
          <w:sz w:val="28"/>
          <w:szCs w:val="32"/>
        </w:rPr>
        <w:t>附件</w:t>
      </w:r>
      <w:r>
        <w:rPr>
          <w:rFonts w:eastAsia="標楷體" w:cs="標楷體" w:hint="eastAsia"/>
          <w:color w:val="000000"/>
          <w:sz w:val="28"/>
          <w:szCs w:val="32"/>
        </w:rPr>
        <w:t>10)</w:t>
      </w:r>
      <w:r>
        <w:rPr>
          <w:rFonts w:eastAsia="標楷體" w:cs="標楷體"/>
          <w:color w:val="000000"/>
          <w:sz w:val="28"/>
          <w:szCs w:val="32"/>
        </w:rPr>
        <w:t>。</w:t>
      </w:r>
      <w:r>
        <w:rPr>
          <w:rFonts w:eastAsia="標楷體" w:cs="標楷體" w:hint="eastAsia"/>
          <w:color w:val="000000"/>
          <w:sz w:val="28"/>
          <w:szCs w:val="32"/>
        </w:rPr>
        <w:t>(</w:t>
      </w:r>
      <w:r>
        <w:rPr>
          <w:rFonts w:eastAsia="標楷體" w:cs="標楷體" w:hint="eastAsia"/>
          <w:color w:val="000000"/>
          <w:sz w:val="28"/>
          <w:szCs w:val="32"/>
        </w:rPr>
        <w:t>廠商應附</w:t>
      </w:r>
      <w:r>
        <w:rPr>
          <w:rFonts w:eastAsia="標楷體" w:cs="標楷體"/>
          <w:color w:val="000000"/>
          <w:sz w:val="28"/>
          <w:szCs w:val="32"/>
        </w:rPr>
        <w:t>設置使用計畫書</w:t>
      </w:r>
      <w:r>
        <w:rPr>
          <w:rFonts w:eastAsia="標楷體" w:cs="標楷體"/>
          <w:color w:val="000000"/>
          <w:sz w:val="28"/>
          <w:szCs w:val="32"/>
        </w:rPr>
        <w:t>1</w:t>
      </w:r>
      <w:r>
        <w:rPr>
          <w:rFonts w:eastAsia="標楷體" w:cs="標楷體"/>
          <w:color w:val="000000"/>
          <w:sz w:val="28"/>
          <w:szCs w:val="32"/>
        </w:rPr>
        <w:t>式</w:t>
      </w:r>
      <w:r>
        <w:rPr>
          <w:rFonts w:eastAsia="標楷體" w:cs="標楷體"/>
          <w:color w:val="000000"/>
          <w:sz w:val="28"/>
          <w:szCs w:val="32"/>
        </w:rPr>
        <w:t>12</w:t>
      </w:r>
      <w:r>
        <w:rPr>
          <w:rFonts w:eastAsia="標楷體" w:cs="標楷體"/>
          <w:color w:val="000000"/>
          <w:sz w:val="28"/>
          <w:szCs w:val="32"/>
        </w:rPr>
        <w:t>份</w:t>
      </w:r>
      <w:r>
        <w:rPr>
          <w:rFonts w:eastAsia="標楷體" w:cs="標楷體" w:hint="eastAsia"/>
          <w:color w:val="000000"/>
          <w:sz w:val="28"/>
          <w:szCs w:val="32"/>
        </w:rPr>
        <w:t>，份數不足影響評選結果者，由投標廠商自行負責</w:t>
      </w:r>
      <w:r>
        <w:rPr>
          <w:rFonts w:eastAsia="標楷體" w:cs="標楷體" w:hint="eastAsia"/>
          <w:color w:val="000000"/>
          <w:sz w:val="28"/>
          <w:szCs w:val="32"/>
        </w:rPr>
        <w:t>)</w:t>
      </w:r>
    </w:p>
    <w:p w:rsidR="00053F03" w:rsidRDefault="008820D2">
      <w:pPr>
        <w:pStyle w:val="a"/>
        <w:numPr>
          <w:ilvl w:val="0"/>
          <w:numId w:val="5"/>
        </w:numPr>
        <w:snapToGrid w:val="0"/>
        <w:spacing w:line="400" w:lineRule="exact"/>
        <w:ind w:left="561" w:hanging="561"/>
        <w:contextualSpacing/>
        <w:rPr>
          <w:rFonts w:hint="default"/>
        </w:rPr>
      </w:pPr>
      <w:r>
        <w:rPr>
          <w:rFonts w:ascii="Times New Roman" w:hAnsi="Times New Roman" w:cs="Times New Roman" w:hint="default"/>
          <w:color w:val="000000"/>
          <w:szCs w:val="28"/>
        </w:rPr>
        <w:t>投標文件有效期：</w:t>
      </w:r>
    </w:p>
    <w:p w:rsidR="00053F03" w:rsidRDefault="008820D2">
      <w:pPr>
        <w:pStyle w:val="a"/>
        <w:numPr>
          <w:ilvl w:val="0"/>
          <w:numId w:val="0"/>
        </w:numPr>
        <w:snapToGrid w:val="0"/>
        <w:spacing w:line="400" w:lineRule="exact"/>
        <w:ind w:left="561"/>
        <w:contextualSpacing/>
        <w:rPr>
          <w:rFonts w:hint="default"/>
        </w:rPr>
      </w:pPr>
      <w:r>
        <w:rPr>
          <w:rFonts w:ascii="Times New Roman" w:hAnsi="Times New Roman" w:cs="Times New Roman" w:hint="default"/>
          <w:color w:val="000000"/>
          <w:szCs w:val="28"/>
        </w:rPr>
        <w:t>自投標時起至開標後</w:t>
      </w:r>
      <w:r>
        <w:rPr>
          <w:rFonts w:ascii="Times New Roman" w:hAnsi="Times New Roman" w:cs="Times New Roman" w:hint="default"/>
          <w:color w:val="000000"/>
          <w:szCs w:val="28"/>
        </w:rPr>
        <w:t>60</w:t>
      </w:r>
      <w:r>
        <w:rPr>
          <w:rFonts w:ascii="Times New Roman" w:hAnsi="Times New Roman" w:cs="Times New Roman" w:hint="default"/>
          <w:color w:val="000000"/>
          <w:szCs w:val="28"/>
        </w:rPr>
        <w:t>日止，如</w:t>
      </w:r>
      <w:r w:rsidR="00BE6081">
        <w:rPr>
          <w:rFonts w:ascii="Times New Roman" w:hAnsi="Times New Roman" w:cs="Times New Roman"/>
          <w:color w:val="000000"/>
          <w:szCs w:val="28"/>
        </w:rPr>
        <w:t>本會</w:t>
      </w:r>
      <w:r>
        <w:rPr>
          <w:rFonts w:ascii="Times New Roman" w:hAnsi="Times New Roman" w:cs="Times New Roman" w:hint="default"/>
          <w:color w:val="000000"/>
          <w:szCs w:val="28"/>
        </w:rPr>
        <w:t>無法於前開有效期內決標，得於必要時洽請廠商延長投標文件之有效期。</w:t>
      </w:r>
    </w:p>
    <w:p w:rsidR="00053F03" w:rsidRDefault="008820D2">
      <w:pPr>
        <w:pStyle w:val="a"/>
        <w:numPr>
          <w:ilvl w:val="0"/>
          <w:numId w:val="5"/>
        </w:numPr>
        <w:snapToGrid w:val="0"/>
        <w:spacing w:line="400" w:lineRule="exact"/>
        <w:ind w:left="561" w:hanging="561"/>
        <w:contextualSpacing/>
        <w:rPr>
          <w:rFonts w:hint="default"/>
        </w:rPr>
      </w:pPr>
      <w:r>
        <w:rPr>
          <w:rFonts w:ascii="Times New Roman" w:hAnsi="Times New Roman" w:cs="Times New Roman" w:hint="default"/>
          <w:color w:val="000000"/>
          <w:szCs w:val="28"/>
        </w:rPr>
        <w:t>投標文件填寫方式：</w:t>
      </w:r>
    </w:p>
    <w:p w:rsidR="00053F03" w:rsidRDefault="008820D2">
      <w:pPr>
        <w:snapToGrid w:val="0"/>
        <w:spacing w:line="400" w:lineRule="exact"/>
        <w:ind w:left="480"/>
        <w:contextualSpacing/>
        <w:jc w:val="both"/>
      </w:pPr>
      <w:r>
        <w:rPr>
          <w:rFonts w:eastAsia="標楷體" w:cs="標楷體"/>
          <w:color w:val="000000"/>
          <w:sz w:val="28"/>
          <w:szCs w:val="28"/>
        </w:rPr>
        <w:t>所有指定填寫之處，不得使用鉛筆，均應以鋼筆、原子筆或打字填寫正確無誤。如未按規定填寫者，該標單應視為無效標。</w:t>
      </w:r>
    </w:p>
    <w:p w:rsidR="00053F03" w:rsidRDefault="008820D2">
      <w:pPr>
        <w:numPr>
          <w:ilvl w:val="0"/>
          <w:numId w:val="13"/>
        </w:numPr>
        <w:snapToGrid w:val="0"/>
        <w:spacing w:line="400" w:lineRule="exact"/>
        <w:contextualSpacing/>
        <w:jc w:val="both"/>
      </w:pPr>
      <w:r>
        <w:rPr>
          <w:rFonts w:eastAsia="標楷體" w:cs="標楷體"/>
          <w:color w:val="000000"/>
          <w:sz w:val="28"/>
          <w:szCs w:val="32"/>
        </w:rPr>
        <w:t>委託代理授權書：</w:t>
      </w:r>
    </w:p>
    <w:p w:rsidR="00053F03" w:rsidRDefault="008820D2">
      <w:pPr>
        <w:snapToGrid w:val="0"/>
        <w:spacing w:line="400" w:lineRule="exact"/>
        <w:ind w:left="1440"/>
        <w:contextualSpacing/>
        <w:jc w:val="both"/>
      </w:pPr>
      <w:r>
        <w:rPr>
          <w:rFonts w:eastAsia="標楷體" w:cs="標楷體"/>
          <w:color w:val="000000"/>
          <w:sz w:val="28"/>
          <w:szCs w:val="32"/>
        </w:rPr>
        <w:t>投標廠商如須委託其全權代理人辦理投標事務，則必須填具「委託代理授權書」一份。</w:t>
      </w:r>
    </w:p>
    <w:p w:rsidR="00053F03" w:rsidRDefault="008820D2">
      <w:pPr>
        <w:numPr>
          <w:ilvl w:val="0"/>
          <w:numId w:val="13"/>
        </w:numPr>
        <w:snapToGrid w:val="0"/>
        <w:spacing w:line="400" w:lineRule="exact"/>
        <w:contextualSpacing/>
        <w:jc w:val="both"/>
      </w:pPr>
      <w:r>
        <w:rPr>
          <w:rFonts w:eastAsia="標楷體" w:cs="標楷體"/>
          <w:color w:val="000000"/>
          <w:sz w:val="28"/>
          <w:szCs w:val="32"/>
        </w:rPr>
        <w:t>投標文件簽章</w:t>
      </w:r>
      <w:r>
        <w:rPr>
          <w:rFonts w:eastAsia="標楷體" w:cs="標楷體" w:hint="eastAsia"/>
          <w:color w:val="000000"/>
          <w:sz w:val="28"/>
          <w:szCs w:val="32"/>
        </w:rPr>
        <w:t>，應用公司負責人之印章。</w:t>
      </w:r>
    </w:p>
    <w:p w:rsidR="00053F03" w:rsidRDefault="008820D2">
      <w:pPr>
        <w:numPr>
          <w:ilvl w:val="0"/>
          <w:numId w:val="13"/>
        </w:numPr>
        <w:snapToGrid w:val="0"/>
        <w:spacing w:line="400" w:lineRule="exact"/>
        <w:contextualSpacing/>
        <w:jc w:val="both"/>
      </w:pPr>
      <w:r>
        <w:rPr>
          <w:rFonts w:eastAsia="標楷體" w:cs="標楷體"/>
          <w:color w:val="000000"/>
          <w:sz w:val="28"/>
          <w:szCs w:val="32"/>
        </w:rPr>
        <w:t>塗擦與更改：</w:t>
      </w:r>
    </w:p>
    <w:p w:rsidR="00053F03" w:rsidRDefault="008820D2">
      <w:pPr>
        <w:snapToGrid w:val="0"/>
        <w:spacing w:line="400" w:lineRule="exact"/>
        <w:ind w:left="1440"/>
        <w:contextualSpacing/>
        <w:jc w:val="both"/>
      </w:pPr>
      <w:r>
        <w:rPr>
          <w:rFonts w:eastAsia="標楷體" w:cs="標楷體"/>
          <w:color w:val="000000"/>
          <w:sz w:val="28"/>
          <w:szCs w:val="32"/>
        </w:rPr>
        <w:t>投標文件須用本須知所定格式填寫，若填寫錯誤須更改時，則更改處應由負責人蓋章。</w:t>
      </w:r>
    </w:p>
    <w:p w:rsidR="00053F03" w:rsidRDefault="008820D2">
      <w:pPr>
        <w:numPr>
          <w:ilvl w:val="0"/>
          <w:numId w:val="13"/>
        </w:numPr>
        <w:snapToGrid w:val="0"/>
        <w:spacing w:line="400" w:lineRule="exact"/>
        <w:contextualSpacing/>
        <w:jc w:val="both"/>
      </w:pPr>
      <w:r>
        <w:rPr>
          <w:rFonts w:eastAsia="標楷體" w:cs="標楷體"/>
          <w:color w:val="000000"/>
          <w:sz w:val="28"/>
          <w:szCs w:val="32"/>
        </w:rPr>
        <w:t>投標文件送達：</w:t>
      </w:r>
    </w:p>
    <w:p w:rsidR="00053F03" w:rsidRDefault="008820D2">
      <w:pPr>
        <w:snapToGrid w:val="0"/>
        <w:spacing w:line="400" w:lineRule="exact"/>
        <w:ind w:left="1440"/>
        <w:contextualSpacing/>
        <w:jc w:val="both"/>
      </w:pPr>
      <w:r>
        <w:rPr>
          <w:rFonts w:eastAsia="標楷體" w:cs="標楷體"/>
          <w:color w:val="000000"/>
          <w:sz w:val="28"/>
          <w:szCs w:val="32"/>
        </w:rPr>
        <w:t>投標廠商</w:t>
      </w:r>
      <w:r>
        <w:rPr>
          <w:rFonts w:eastAsia="標楷體" w:cs="標楷體" w:hint="eastAsia"/>
          <w:color w:val="000000"/>
          <w:sz w:val="28"/>
          <w:szCs w:val="32"/>
        </w:rPr>
        <w:t>之投標文件</w:t>
      </w:r>
      <w:r>
        <w:rPr>
          <w:rFonts w:eastAsia="標楷體" w:cs="標楷體"/>
          <w:color w:val="000000"/>
          <w:sz w:val="28"/>
          <w:szCs w:val="32"/>
        </w:rPr>
        <w:t>應密封後投標。封套外部須書明投標廠商名稱、地址及採購案號或投標標的。投標文件須於投標截止期限前，以郵遞或專人寄</w:t>
      </w:r>
      <w:r>
        <w:rPr>
          <w:rFonts w:eastAsia="標楷體" w:cs="標楷體"/>
          <w:color w:val="000000"/>
          <w:sz w:val="28"/>
          <w:szCs w:val="32"/>
        </w:rPr>
        <w:t>(</w:t>
      </w:r>
      <w:r>
        <w:rPr>
          <w:rFonts w:eastAsia="標楷體" w:cs="標楷體"/>
          <w:color w:val="000000"/>
          <w:sz w:val="28"/>
          <w:szCs w:val="32"/>
        </w:rPr>
        <w:t>送</w:t>
      </w:r>
      <w:r>
        <w:rPr>
          <w:rFonts w:eastAsia="標楷體" w:cs="標楷體"/>
          <w:color w:val="000000"/>
          <w:sz w:val="28"/>
          <w:szCs w:val="32"/>
        </w:rPr>
        <w:t>)</w:t>
      </w:r>
      <w:r>
        <w:rPr>
          <w:rFonts w:eastAsia="標楷體" w:cs="標楷體"/>
          <w:color w:val="000000"/>
          <w:sz w:val="28"/>
          <w:szCs w:val="32"/>
        </w:rPr>
        <w:t>達方式送達</w:t>
      </w:r>
      <w:r>
        <w:rPr>
          <w:rFonts w:eastAsia="標楷體" w:cs="標楷體" w:hint="eastAsia"/>
          <w:color w:val="000000"/>
          <w:sz w:val="28"/>
          <w:szCs w:val="32"/>
        </w:rPr>
        <w:t>本</w:t>
      </w:r>
      <w:r w:rsidR="00BE6081">
        <w:rPr>
          <w:rFonts w:eastAsia="標楷體" w:cs="標楷體" w:hint="eastAsia"/>
          <w:color w:val="000000"/>
          <w:sz w:val="28"/>
          <w:szCs w:val="32"/>
        </w:rPr>
        <w:t>會</w:t>
      </w:r>
      <w:r>
        <w:rPr>
          <w:rFonts w:eastAsia="標楷體" w:cs="標楷體"/>
          <w:color w:val="000000"/>
          <w:sz w:val="28"/>
          <w:szCs w:val="32"/>
        </w:rPr>
        <w:t>於投標文件所指定之場所。違反規定者，取消該投標資格，經送</w:t>
      </w:r>
      <w:r>
        <w:rPr>
          <w:rFonts w:eastAsia="標楷體" w:cs="標楷體"/>
          <w:color w:val="000000"/>
          <w:sz w:val="28"/>
          <w:szCs w:val="32"/>
        </w:rPr>
        <w:t>(</w:t>
      </w:r>
      <w:r>
        <w:rPr>
          <w:rFonts w:eastAsia="標楷體" w:cs="標楷體"/>
          <w:color w:val="000000"/>
          <w:sz w:val="28"/>
          <w:szCs w:val="32"/>
        </w:rPr>
        <w:t>寄</w:t>
      </w:r>
      <w:r>
        <w:rPr>
          <w:rFonts w:eastAsia="標楷體" w:cs="標楷體"/>
          <w:color w:val="000000"/>
          <w:sz w:val="28"/>
          <w:szCs w:val="32"/>
        </w:rPr>
        <w:t>)</w:t>
      </w:r>
      <w:r>
        <w:rPr>
          <w:rFonts w:eastAsia="標楷體" w:cs="標楷體"/>
          <w:color w:val="000000"/>
          <w:sz w:val="28"/>
          <w:szCs w:val="32"/>
        </w:rPr>
        <w:t>達本</w:t>
      </w:r>
      <w:r w:rsidR="00BE6081">
        <w:rPr>
          <w:rFonts w:eastAsia="標楷體" w:cs="標楷體" w:hint="eastAsia"/>
          <w:color w:val="000000"/>
          <w:sz w:val="28"/>
          <w:szCs w:val="32"/>
        </w:rPr>
        <w:t>會</w:t>
      </w:r>
      <w:r>
        <w:rPr>
          <w:rFonts w:eastAsia="標楷體" w:cs="標楷體"/>
          <w:color w:val="000000"/>
          <w:sz w:val="28"/>
          <w:szCs w:val="32"/>
        </w:rPr>
        <w:t>之投標文件，除投標文件另有規定者外，不得以任何理由請求發還、作廢、撤銷或更改。</w:t>
      </w:r>
    </w:p>
    <w:p w:rsidR="00053F03" w:rsidRDefault="008820D2">
      <w:pPr>
        <w:numPr>
          <w:ilvl w:val="0"/>
          <w:numId w:val="13"/>
        </w:numPr>
        <w:snapToGrid w:val="0"/>
        <w:spacing w:line="400" w:lineRule="exact"/>
        <w:contextualSpacing/>
        <w:jc w:val="both"/>
      </w:pPr>
      <w:r>
        <w:rPr>
          <w:rFonts w:eastAsia="標楷體" w:cs="標楷體"/>
          <w:color w:val="000000"/>
          <w:sz w:val="28"/>
          <w:szCs w:val="32"/>
        </w:rPr>
        <w:t>本標租案投標設備裝置容量係以瓩</w:t>
      </w:r>
      <w:r>
        <w:rPr>
          <w:rFonts w:eastAsia="標楷體" w:cs="標楷體"/>
          <w:color w:val="000000"/>
          <w:sz w:val="28"/>
          <w:szCs w:val="32"/>
        </w:rPr>
        <w:t>(kW)</w:t>
      </w:r>
      <w:r>
        <w:rPr>
          <w:rFonts w:eastAsia="標楷體" w:cs="標楷體"/>
          <w:color w:val="000000"/>
          <w:sz w:val="28"/>
          <w:szCs w:val="32"/>
        </w:rPr>
        <w:t>為單位，投標單</w:t>
      </w:r>
      <w:r>
        <w:rPr>
          <w:rFonts w:eastAsia="標楷體" w:cs="標楷體" w:hint="eastAsia"/>
          <w:color w:val="000000"/>
          <w:sz w:val="28"/>
          <w:szCs w:val="32"/>
        </w:rPr>
        <w:t>投標設備裝置容量</w:t>
      </w:r>
      <w:r>
        <w:rPr>
          <w:rFonts w:eastAsia="標楷體" w:cs="標楷體"/>
          <w:color w:val="000000"/>
          <w:sz w:val="28"/>
          <w:szCs w:val="32"/>
        </w:rPr>
        <w:t>數值應填寫至小數點後二位。</w:t>
      </w:r>
      <w:r>
        <w:rPr>
          <w:rFonts w:eastAsia="標楷體" w:cs="標楷體" w:hint="eastAsia"/>
          <w:color w:val="000000"/>
          <w:sz w:val="28"/>
          <w:szCs w:val="32"/>
        </w:rPr>
        <w:t>本案不訂定最低裝置容量</w:t>
      </w:r>
      <w:r>
        <w:rPr>
          <w:rFonts w:eastAsia="標楷體" w:cs="標楷體"/>
          <w:color w:val="000000"/>
          <w:sz w:val="28"/>
          <w:szCs w:val="32"/>
        </w:rPr>
        <w:t>。</w:t>
      </w:r>
    </w:p>
    <w:p w:rsidR="00053F03" w:rsidRDefault="008820D2">
      <w:pPr>
        <w:numPr>
          <w:ilvl w:val="0"/>
          <w:numId w:val="13"/>
        </w:numPr>
        <w:snapToGrid w:val="0"/>
        <w:spacing w:line="400" w:lineRule="exact"/>
        <w:contextualSpacing/>
        <w:jc w:val="both"/>
      </w:pPr>
      <w:r>
        <w:rPr>
          <w:rFonts w:eastAsia="標楷體" w:cs="標楷體"/>
          <w:color w:val="000000"/>
          <w:sz w:val="28"/>
          <w:szCs w:val="32"/>
        </w:rPr>
        <w:t>投標單權利金百分比係以百分比</w:t>
      </w:r>
      <w:r>
        <w:rPr>
          <w:rFonts w:eastAsia="標楷體" w:cs="標楷體"/>
          <w:color w:val="000000"/>
          <w:sz w:val="28"/>
          <w:szCs w:val="32"/>
        </w:rPr>
        <w:t>(%)</w:t>
      </w:r>
      <w:r>
        <w:rPr>
          <w:rFonts w:eastAsia="標楷體" w:cs="標楷體"/>
          <w:color w:val="000000"/>
          <w:sz w:val="28"/>
          <w:szCs w:val="32"/>
        </w:rPr>
        <w:t>為單位，其數值應填寫至小數點後二位，惟投標權利金百分比不得低於</w:t>
      </w:r>
      <w:r>
        <w:rPr>
          <w:rFonts w:eastAsia="標楷體" w:cs="標楷體"/>
          <w:color w:val="000000"/>
          <w:sz w:val="28"/>
          <w:szCs w:val="32"/>
          <w:u w:val="single"/>
        </w:rPr>
        <w:t>2%</w:t>
      </w:r>
      <w:r>
        <w:rPr>
          <w:rFonts w:eastAsia="標楷體" w:cs="標楷體" w:hint="eastAsia"/>
          <w:color w:val="000000"/>
          <w:sz w:val="28"/>
          <w:szCs w:val="32"/>
        </w:rPr>
        <w:t>。</w:t>
      </w:r>
    </w:p>
    <w:p w:rsidR="00053F03" w:rsidRDefault="008820D2">
      <w:pPr>
        <w:pStyle w:val="a"/>
        <w:numPr>
          <w:ilvl w:val="0"/>
          <w:numId w:val="5"/>
        </w:numPr>
        <w:snapToGrid w:val="0"/>
        <w:spacing w:line="400" w:lineRule="exact"/>
        <w:ind w:left="561" w:hanging="561"/>
        <w:contextualSpacing/>
        <w:rPr>
          <w:rFonts w:hint="default"/>
        </w:rPr>
      </w:pPr>
      <w:r>
        <w:rPr>
          <w:rFonts w:ascii="Times New Roman" w:hAnsi="Times New Roman" w:cs="Times New Roman" w:hint="default"/>
          <w:color w:val="000000"/>
          <w:szCs w:val="28"/>
        </w:rPr>
        <w:lastRenderedPageBreak/>
        <w:t>投標文件收件地點及截止期限：</w:t>
      </w:r>
    </w:p>
    <w:p w:rsidR="00053F03" w:rsidRDefault="008820D2">
      <w:pPr>
        <w:numPr>
          <w:ilvl w:val="0"/>
          <w:numId w:val="18"/>
        </w:numPr>
        <w:snapToGrid w:val="0"/>
        <w:spacing w:line="400" w:lineRule="exact"/>
        <w:contextualSpacing/>
        <w:jc w:val="both"/>
      </w:pPr>
      <w:r>
        <w:rPr>
          <w:rFonts w:eastAsia="標楷體" w:cs="標楷體"/>
          <w:color w:val="000000"/>
          <w:sz w:val="28"/>
          <w:szCs w:val="32"/>
        </w:rPr>
        <w:t>截止投標期限</w:t>
      </w:r>
      <w:r>
        <w:rPr>
          <w:rFonts w:eastAsia="標楷體" w:cs="標楷體" w:hint="eastAsia"/>
          <w:color w:val="000000"/>
          <w:sz w:val="28"/>
          <w:szCs w:val="32"/>
        </w:rPr>
        <w:t>詳標租公告，廠商應於標租公告截止期限前將投標文件送</w:t>
      </w:r>
      <w:r>
        <w:rPr>
          <w:rFonts w:eastAsia="標楷體" w:cs="標楷體"/>
          <w:color w:val="000000"/>
          <w:sz w:val="28"/>
          <w:szCs w:val="32"/>
        </w:rPr>
        <w:t>達</w:t>
      </w:r>
      <w:r w:rsidR="00BE6081" w:rsidRPr="00BE6081">
        <w:rPr>
          <w:rFonts w:eastAsia="標楷體" w:cs="標楷體" w:hint="eastAsia"/>
          <w:color w:val="FF0000"/>
          <w:sz w:val="28"/>
          <w:szCs w:val="32"/>
        </w:rPr>
        <w:t>臺灣○農田水利會</w:t>
      </w:r>
      <w:r w:rsidRPr="00BE6081">
        <w:rPr>
          <w:rFonts w:ascii="標楷體" w:eastAsia="標楷體" w:hAnsi="標楷體" w:cs="標楷體" w:hint="eastAsia"/>
          <w:color w:val="FF0000"/>
          <w:sz w:val="28"/>
        </w:rPr>
        <w:t>總收發室（</w:t>
      </w:r>
      <w:r w:rsidR="00BE6081" w:rsidRPr="00BE6081">
        <w:rPr>
          <w:rFonts w:ascii="標楷體" w:eastAsia="標楷體" w:hAnsi="標楷體" w:cs="標楷體" w:hint="eastAsia"/>
          <w:color w:val="FF0000"/>
          <w:sz w:val="28"/>
        </w:rPr>
        <w:t>地址：○</w:t>
      </w:r>
      <w:r w:rsidRPr="00BE6081">
        <w:rPr>
          <w:rFonts w:ascii="標楷體" w:eastAsia="標楷體" w:hAnsi="標楷體" w:cs="標楷體" w:hint="eastAsia"/>
          <w:color w:val="FF0000"/>
          <w:sz w:val="28"/>
        </w:rPr>
        <w:t>）</w:t>
      </w:r>
      <w:r>
        <w:rPr>
          <w:rFonts w:eastAsia="標楷體" w:cs="標楷體"/>
          <w:color w:val="000000"/>
          <w:sz w:val="28"/>
          <w:szCs w:val="32"/>
        </w:rPr>
        <w:t>。</w:t>
      </w:r>
    </w:p>
    <w:p w:rsidR="00053F03" w:rsidRDefault="008820D2">
      <w:pPr>
        <w:numPr>
          <w:ilvl w:val="0"/>
          <w:numId w:val="18"/>
        </w:numPr>
        <w:snapToGrid w:val="0"/>
        <w:spacing w:line="400" w:lineRule="exact"/>
        <w:contextualSpacing/>
        <w:jc w:val="both"/>
      </w:pPr>
      <w:r>
        <w:rPr>
          <w:rFonts w:eastAsia="標楷體" w:cs="標楷體"/>
          <w:color w:val="000000"/>
          <w:sz w:val="28"/>
          <w:szCs w:val="32"/>
        </w:rPr>
        <w:t>截止收件日或開標日為辦公日，而該日因故停止辦公，以次一辦公日之同一截止收件或開標時間代之。</w:t>
      </w:r>
    </w:p>
    <w:p w:rsidR="00053F03" w:rsidRDefault="008820D2">
      <w:pPr>
        <w:pStyle w:val="a"/>
        <w:numPr>
          <w:ilvl w:val="0"/>
          <w:numId w:val="5"/>
        </w:numPr>
        <w:snapToGrid w:val="0"/>
        <w:spacing w:line="400" w:lineRule="exact"/>
        <w:ind w:left="561" w:hanging="561"/>
        <w:contextualSpacing/>
        <w:rPr>
          <w:rFonts w:hint="default"/>
        </w:rPr>
      </w:pPr>
      <w:r>
        <w:rPr>
          <w:rFonts w:ascii="Times New Roman" w:hAnsi="Times New Roman" w:cs="Times New Roman" w:hint="default"/>
          <w:color w:val="000000"/>
          <w:szCs w:val="28"/>
        </w:rPr>
        <w:t>押標金繳納方式、沒收與發還：</w:t>
      </w:r>
    </w:p>
    <w:p w:rsidR="00053F03" w:rsidRDefault="008820D2">
      <w:pPr>
        <w:pStyle w:val="7"/>
        <w:ind w:left="720" w:firstLine="0"/>
        <w:jc w:val="both"/>
        <w:textAlignment w:val="auto"/>
      </w:pPr>
      <w:r>
        <w:rPr>
          <w:rFonts w:eastAsia="標楷體" w:cs="標楷體"/>
          <w:color w:val="000000"/>
          <w:sz w:val="28"/>
          <w:szCs w:val="32"/>
        </w:rPr>
        <w:t>本標租之押標金金額為新臺幣</w:t>
      </w:r>
      <w:r w:rsidR="00BE6081" w:rsidRPr="00BE6081">
        <w:rPr>
          <w:rFonts w:eastAsia="標楷體" w:cs="標楷體" w:hint="eastAsia"/>
          <w:color w:val="FF0000"/>
          <w:sz w:val="28"/>
          <w:szCs w:val="32"/>
          <w:u w:val="single"/>
        </w:rPr>
        <w:t>○</w:t>
      </w:r>
      <w:r>
        <w:rPr>
          <w:rFonts w:eastAsia="標楷體" w:cs="標楷體"/>
          <w:color w:val="000000"/>
          <w:sz w:val="28"/>
          <w:szCs w:val="32"/>
        </w:rPr>
        <w:t>萬元，投標廠商應以下列方式繳納：</w:t>
      </w:r>
      <w:r>
        <w:rPr>
          <w:rFonts w:ascii="標楷體" w:eastAsia="標楷體" w:hAnsi="標楷體" w:cs="標楷體" w:hint="eastAsia"/>
          <w:color w:val="000000"/>
          <w:spacing w:val="0"/>
          <w:sz w:val="28"/>
        </w:rPr>
        <w:t xml:space="preserve"> </w:t>
      </w:r>
    </w:p>
    <w:p w:rsidR="00053F03" w:rsidRDefault="008820D2">
      <w:pPr>
        <w:numPr>
          <w:ilvl w:val="0"/>
          <w:numId w:val="15"/>
        </w:numPr>
        <w:snapToGrid w:val="0"/>
        <w:spacing w:line="400" w:lineRule="exact"/>
        <w:contextualSpacing/>
        <w:jc w:val="both"/>
      </w:pPr>
      <w:r>
        <w:rPr>
          <w:rFonts w:eastAsia="標楷體"/>
          <w:color w:val="000000"/>
          <w:sz w:val="28"/>
        </w:rPr>
        <w:t>票據繳交：受款人抬頭為『</w:t>
      </w:r>
      <w:r w:rsidR="00BE6081" w:rsidRPr="00BE6081">
        <w:rPr>
          <w:rFonts w:ascii="標楷體" w:eastAsia="標楷體" w:hAnsi="標楷體" w:cs="標楷體" w:hint="eastAsia"/>
          <w:color w:val="FF0000"/>
          <w:sz w:val="28"/>
          <w:szCs w:val="32"/>
          <w:u w:val="single"/>
        </w:rPr>
        <w:t>○</w:t>
      </w:r>
      <w:r>
        <w:rPr>
          <w:rFonts w:eastAsia="標楷體"/>
          <w:color w:val="000000"/>
          <w:sz w:val="28"/>
        </w:rPr>
        <w:t>』</w:t>
      </w:r>
      <w:r>
        <w:rPr>
          <w:rFonts w:ascii="標楷體" w:eastAsia="標楷體" w:hAnsi="標楷體" w:cs="標楷體" w:hint="eastAsia"/>
          <w:color w:val="000000"/>
          <w:sz w:val="28"/>
        </w:rPr>
        <w:t>。</w:t>
      </w:r>
    </w:p>
    <w:p w:rsidR="00053F03" w:rsidRDefault="008820D2">
      <w:pPr>
        <w:numPr>
          <w:ilvl w:val="0"/>
          <w:numId w:val="15"/>
        </w:numPr>
        <w:snapToGrid w:val="0"/>
        <w:spacing w:line="400" w:lineRule="exact"/>
        <w:contextualSpacing/>
        <w:jc w:val="both"/>
      </w:pPr>
      <w:r>
        <w:rPr>
          <w:rFonts w:eastAsia="標楷體"/>
          <w:color w:val="000000"/>
          <w:sz w:val="28"/>
        </w:rPr>
        <w:t>以現金繳納：</w:t>
      </w:r>
      <w:r w:rsidRPr="00BE6081">
        <w:rPr>
          <w:rFonts w:eastAsia="標楷體"/>
          <w:color w:val="FF0000"/>
          <w:sz w:val="28"/>
        </w:rPr>
        <w:t>匯入『</w:t>
      </w:r>
      <w:r w:rsidR="00BE6081" w:rsidRPr="00BE6081">
        <w:rPr>
          <w:rFonts w:eastAsia="標楷體" w:hint="eastAsia"/>
          <w:color w:val="FF0000"/>
          <w:sz w:val="28"/>
        </w:rPr>
        <w:t>○</w:t>
      </w:r>
      <w:r w:rsidRPr="00BE6081">
        <w:rPr>
          <w:rFonts w:eastAsia="標楷體"/>
          <w:color w:val="FF0000"/>
          <w:sz w:val="28"/>
        </w:rPr>
        <w:t>』戶名『</w:t>
      </w:r>
      <w:r w:rsidR="00BE6081" w:rsidRPr="00BE6081">
        <w:rPr>
          <w:rFonts w:ascii="標楷體" w:eastAsia="標楷體" w:hAnsi="標楷體" w:cs="標楷體" w:hint="eastAsia"/>
          <w:color w:val="FF0000"/>
          <w:sz w:val="28"/>
          <w:szCs w:val="32"/>
          <w:u w:val="single"/>
        </w:rPr>
        <w:t>○</w:t>
      </w:r>
      <w:r w:rsidRPr="00BE6081">
        <w:rPr>
          <w:rFonts w:eastAsia="標楷體"/>
          <w:color w:val="FF0000"/>
          <w:sz w:val="28"/>
        </w:rPr>
        <w:t>』帳號</w:t>
      </w:r>
      <w:r w:rsidR="00BE6081" w:rsidRPr="00BE6081">
        <w:rPr>
          <w:rFonts w:ascii="標楷體" w:eastAsia="標楷體" w:hAnsi="標楷體" w:cs="標楷體" w:hint="eastAsia"/>
          <w:color w:val="FF0000"/>
          <w:sz w:val="28"/>
          <w:szCs w:val="32"/>
          <w:u w:val="single"/>
        </w:rPr>
        <w:t>○</w:t>
      </w:r>
      <w:r>
        <w:rPr>
          <w:rFonts w:ascii="標楷體" w:eastAsia="標楷體" w:hAnsi="標楷體" w:cs="標楷體" w:hint="eastAsia"/>
          <w:color w:val="000000"/>
          <w:sz w:val="28"/>
        </w:rPr>
        <w:t>。</w:t>
      </w:r>
    </w:p>
    <w:p w:rsidR="00053F03" w:rsidRDefault="008820D2">
      <w:pPr>
        <w:numPr>
          <w:ilvl w:val="0"/>
          <w:numId w:val="15"/>
        </w:numPr>
        <w:snapToGrid w:val="0"/>
        <w:spacing w:line="400" w:lineRule="exact"/>
        <w:contextualSpacing/>
        <w:jc w:val="both"/>
      </w:pPr>
      <w:r>
        <w:rPr>
          <w:rFonts w:ascii="標楷體" w:eastAsia="標楷體" w:hAnsi="標楷體" w:cs="標楷體" w:hint="eastAsia"/>
          <w:color w:val="000000"/>
          <w:sz w:val="28"/>
        </w:rPr>
        <w:t>上述票據包含金融機構簽發之本票或支票、保付支票、郵政匯票。</w:t>
      </w:r>
    </w:p>
    <w:p w:rsidR="00053F03" w:rsidRDefault="008820D2">
      <w:pPr>
        <w:numPr>
          <w:ilvl w:val="0"/>
          <w:numId w:val="15"/>
        </w:numPr>
        <w:snapToGrid w:val="0"/>
        <w:spacing w:line="400" w:lineRule="exact"/>
        <w:contextualSpacing/>
        <w:jc w:val="both"/>
      </w:pPr>
      <w:r>
        <w:rPr>
          <w:rFonts w:eastAsia="標楷體" w:cs="標楷體"/>
          <w:color w:val="000000"/>
          <w:sz w:val="28"/>
          <w:szCs w:val="32"/>
        </w:rPr>
        <w:t>上述押標金之方式，擇一放入標封內</w:t>
      </w:r>
      <w:r>
        <w:rPr>
          <w:rFonts w:eastAsia="標楷體" w:cs="標楷體"/>
          <w:color w:val="000000"/>
          <w:sz w:val="28"/>
          <w:szCs w:val="32"/>
        </w:rPr>
        <w:t>(</w:t>
      </w:r>
      <w:r>
        <w:rPr>
          <w:rFonts w:eastAsia="標楷體" w:cs="標楷體"/>
          <w:color w:val="000000"/>
          <w:sz w:val="28"/>
          <w:szCs w:val="32"/>
        </w:rPr>
        <w:t>以現金繳納者應</w:t>
      </w:r>
      <w:r>
        <w:rPr>
          <w:rFonts w:eastAsia="標楷體" w:cs="標楷體" w:hint="eastAsia"/>
          <w:color w:val="000000"/>
          <w:sz w:val="28"/>
          <w:szCs w:val="32"/>
        </w:rPr>
        <w:t>將收據附於標封內或現場繳交</w:t>
      </w:r>
      <w:r>
        <w:rPr>
          <w:rFonts w:eastAsia="標楷體" w:cs="標楷體"/>
          <w:color w:val="000000"/>
          <w:sz w:val="28"/>
          <w:szCs w:val="32"/>
        </w:rPr>
        <w:t>)</w:t>
      </w:r>
      <w:r>
        <w:rPr>
          <w:rFonts w:eastAsia="標楷體" w:cs="標楷體"/>
          <w:color w:val="000000"/>
          <w:sz w:val="28"/>
          <w:szCs w:val="32"/>
        </w:rPr>
        <w:t>。凡未按規定繳納押標金者，其所投之標即視為無效</w:t>
      </w:r>
      <w:r>
        <w:rPr>
          <w:rFonts w:eastAsia="標楷體" w:cs="標楷體" w:hint="eastAsia"/>
          <w:color w:val="000000"/>
          <w:sz w:val="28"/>
          <w:szCs w:val="32"/>
        </w:rPr>
        <w:t>。</w:t>
      </w:r>
      <w:r>
        <w:rPr>
          <w:rFonts w:eastAsia="標楷體" w:cs="標楷體"/>
          <w:color w:val="000000"/>
          <w:sz w:val="28"/>
          <w:szCs w:val="32"/>
        </w:rPr>
        <w:t>未得標者，無息退還。</w:t>
      </w:r>
    </w:p>
    <w:p w:rsidR="00053F03" w:rsidRDefault="008820D2">
      <w:pPr>
        <w:numPr>
          <w:ilvl w:val="0"/>
          <w:numId w:val="15"/>
        </w:numPr>
        <w:snapToGrid w:val="0"/>
        <w:spacing w:line="400" w:lineRule="exact"/>
        <w:contextualSpacing/>
        <w:jc w:val="both"/>
      </w:pPr>
      <w:r>
        <w:rPr>
          <w:rFonts w:eastAsia="標楷體" w:cs="標楷體"/>
          <w:color w:val="000000"/>
          <w:sz w:val="28"/>
          <w:szCs w:val="32"/>
        </w:rPr>
        <w:t>廠商有下列情形之一者，其所繳納之押標金及其孳息，不予發還：</w:t>
      </w:r>
    </w:p>
    <w:p w:rsidR="00053F03" w:rsidRDefault="008820D2">
      <w:pPr>
        <w:numPr>
          <w:ilvl w:val="0"/>
          <w:numId w:val="21"/>
        </w:numPr>
        <w:snapToGrid w:val="0"/>
        <w:spacing w:line="400" w:lineRule="exact"/>
        <w:contextualSpacing/>
        <w:jc w:val="both"/>
      </w:pPr>
      <w:r>
        <w:rPr>
          <w:rFonts w:eastAsia="標楷體" w:cs="標楷體"/>
          <w:color w:val="000000"/>
          <w:sz w:val="28"/>
          <w:szCs w:val="28"/>
        </w:rPr>
        <w:t>以偽造、變造之文件投標。</w:t>
      </w:r>
    </w:p>
    <w:p w:rsidR="00053F03" w:rsidRDefault="008820D2">
      <w:pPr>
        <w:numPr>
          <w:ilvl w:val="0"/>
          <w:numId w:val="21"/>
        </w:numPr>
        <w:snapToGrid w:val="0"/>
        <w:spacing w:line="400" w:lineRule="exact"/>
        <w:contextualSpacing/>
        <w:jc w:val="both"/>
      </w:pPr>
      <w:r>
        <w:rPr>
          <w:rFonts w:eastAsia="標楷體" w:cs="標楷體"/>
          <w:color w:val="000000"/>
          <w:sz w:val="28"/>
          <w:szCs w:val="28"/>
        </w:rPr>
        <w:t>投標廠商另行借用他人名義或證件投標。</w:t>
      </w:r>
    </w:p>
    <w:p w:rsidR="00053F03" w:rsidRDefault="008820D2">
      <w:pPr>
        <w:numPr>
          <w:ilvl w:val="0"/>
          <w:numId w:val="21"/>
        </w:numPr>
        <w:snapToGrid w:val="0"/>
        <w:spacing w:line="400" w:lineRule="exact"/>
        <w:contextualSpacing/>
        <w:jc w:val="both"/>
      </w:pPr>
      <w:r>
        <w:rPr>
          <w:rFonts w:eastAsia="標楷體" w:cs="標楷體"/>
          <w:color w:val="000000"/>
          <w:sz w:val="28"/>
          <w:szCs w:val="28"/>
        </w:rPr>
        <w:t>冒用他人名義或證件投標。</w:t>
      </w:r>
    </w:p>
    <w:p w:rsidR="00053F03" w:rsidRDefault="008820D2">
      <w:pPr>
        <w:numPr>
          <w:ilvl w:val="0"/>
          <w:numId w:val="21"/>
        </w:numPr>
        <w:snapToGrid w:val="0"/>
        <w:spacing w:line="400" w:lineRule="exact"/>
        <w:contextualSpacing/>
        <w:jc w:val="both"/>
      </w:pPr>
      <w:r>
        <w:rPr>
          <w:rFonts w:eastAsia="標楷體" w:cs="標楷體"/>
          <w:color w:val="000000"/>
          <w:sz w:val="28"/>
          <w:szCs w:val="28"/>
        </w:rPr>
        <w:t>在報價有效期間內撤回其報價。</w:t>
      </w:r>
    </w:p>
    <w:p w:rsidR="00053F03" w:rsidRDefault="008820D2">
      <w:pPr>
        <w:numPr>
          <w:ilvl w:val="0"/>
          <w:numId w:val="21"/>
        </w:numPr>
        <w:snapToGrid w:val="0"/>
        <w:spacing w:line="400" w:lineRule="exact"/>
        <w:contextualSpacing/>
        <w:jc w:val="both"/>
      </w:pPr>
      <w:r>
        <w:rPr>
          <w:rFonts w:eastAsia="標楷體" w:cs="標楷體"/>
          <w:color w:val="000000"/>
          <w:sz w:val="28"/>
          <w:szCs w:val="28"/>
        </w:rPr>
        <w:t>開標後應得標者不接受決標或拒不簽約。</w:t>
      </w:r>
    </w:p>
    <w:p w:rsidR="00053F03" w:rsidRDefault="008820D2">
      <w:pPr>
        <w:numPr>
          <w:ilvl w:val="0"/>
          <w:numId w:val="21"/>
        </w:numPr>
        <w:snapToGrid w:val="0"/>
        <w:spacing w:line="400" w:lineRule="exact"/>
        <w:contextualSpacing/>
        <w:jc w:val="both"/>
      </w:pPr>
      <w:r>
        <w:rPr>
          <w:rFonts w:eastAsia="標楷體" w:cs="標楷體"/>
          <w:color w:val="000000"/>
          <w:sz w:val="28"/>
          <w:szCs w:val="28"/>
        </w:rPr>
        <w:t>得標後未於規定期限內，繳足</w:t>
      </w:r>
      <w:r>
        <w:rPr>
          <w:rFonts w:eastAsia="標楷體" w:cs="標楷體" w:hint="eastAsia"/>
          <w:color w:val="000000"/>
          <w:sz w:val="28"/>
          <w:szCs w:val="28"/>
        </w:rPr>
        <w:t>履約</w:t>
      </w:r>
      <w:r>
        <w:rPr>
          <w:rFonts w:eastAsia="標楷體" w:cs="標楷體"/>
          <w:color w:val="000000"/>
          <w:sz w:val="28"/>
          <w:szCs w:val="28"/>
        </w:rPr>
        <w:t>保證金或提供擔保。</w:t>
      </w:r>
    </w:p>
    <w:p w:rsidR="00053F03" w:rsidRDefault="008820D2" w:rsidP="006503FA">
      <w:pPr>
        <w:numPr>
          <w:ilvl w:val="0"/>
          <w:numId w:val="21"/>
        </w:numPr>
        <w:snapToGrid w:val="0"/>
        <w:spacing w:line="400" w:lineRule="exact"/>
        <w:contextualSpacing/>
        <w:jc w:val="both"/>
      </w:pPr>
      <w:r w:rsidRPr="006503FA">
        <w:rPr>
          <w:rFonts w:eastAsia="標楷體" w:cs="標楷體"/>
          <w:color w:val="000000"/>
          <w:sz w:val="28"/>
          <w:szCs w:val="28"/>
        </w:rPr>
        <w:t>押標金轉換為</w:t>
      </w:r>
      <w:r w:rsidRPr="006503FA">
        <w:rPr>
          <w:rFonts w:eastAsia="標楷體" w:cs="標楷體" w:hint="eastAsia"/>
          <w:color w:val="000000"/>
          <w:sz w:val="28"/>
          <w:szCs w:val="28"/>
        </w:rPr>
        <w:t>履約</w:t>
      </w:r>
      <w:r w:rsidRPr="006503FA">
        <w:rPr>
          <w:rFonts w:eastAsia="標楷體" w:cs="標楷體"/>
          <w:color w:val="000000"/>
          <w:sz w:val="28"/>
          <w:szCs w:val="28"/>
        </w:rPr>
        <w:t>保證金。</w:t>
      </w:r>
    </w:p>
    <w:p w:rsidR="00053F03" w:rsidRDefault="008820D2">
      <w:pPr>
        <w:pStyle w:val="a"/>
        <w:numPr>
          <w:ilvl w:val="0"/>
          <w:numId w:val="5"/>
        </w:numPr>
        <w:snapToGrid w:val="0"/>
        <w:spacing w:line="400" w:lineRule="exact"/>
        <w:ind w:left="561" w:hanging="561"/>
        <w:contextualSpacing/>
        <w:rPr>
          <w:rFonts w:hint="default"/>
        </w:rPr>
      </w:pPr>
      <w:r>
        <w:rPr>
          <w:rFonts w:ascii="Times New Roman" w:hAnsi="Times New Roman" w:cs="Times New Roman" w:hint="default"/>
          <w:color w:val="000000"/>
          <w:szCs w:val="28"/>
        </w:rPr>
        <w:t>開標：</w:t>
      </w:r>
    </w:p>
    <w:p w:rsidR="00053F03" w:rsidRDefault="008820D2">
      <w:pPr>
        <w:snapToGrid w:val="0"/>
        <w:spacing w:line="400" w:lineRule="exact"/>
        <w:ind w:left="1440"/>
        <w:contextualSpacing/>
        <w:jc w:val="both"/>
      </w:pPr>
      <w:r>
        <w:rPr>
          <w:rFonts w:ascii="標楷體" w:eastAsia="標楷體" w:hAnsi="標楷體" w:cs="標楷體" w:hint="eastAsia"/>
          <w:color w:val="000000"/>
          <w:sz w:val="28"/>
        </w:rPr>
        <w:t>本案開標方式為一次投標，分段開標，採資格審查與綜合評選二階段辦理，資格審查合格者進行第二階段綜合評選，未通過前一階段審標之投標廠商，其已投標未開標之部分原封發還。</w:t>
      </w:r>
    </w:p>
    <w:p w:rsidR="00053F03" w:rsidRDefault="008820D2">
      <w:pPr>
        <w:numPr>
          <w:ilvl w:val="0"/>
          <w:numId w:val="20"/>
        </w:numPr>
        <w:snapToGrid w:val="0"/>
        <w:spacing w:line="400" w:lineRule="exact"/>
        <w:contextualSpacing/>
        <w:jc w:val="both"/>
      </w:pPr>
      <w:r w:rsidRPr="00167D15">
        <w:rPr>
          <w:rFonts w:ascii="標楷體" w:eastAsia="標楷體" w:hAnsi="標楷體" w:cs="標楷體" w:hint="eastAsia"/>
          <w:color w:val="FF0000"/>
          <w:sz w:val="28"/>
        </w:rPr>
        <w:t>資格審查公開開標地點：</w:t>
      </w:r>
      <w:r w:rsidR="00BE6081" w:rsidRPr="00BE6081">
        <w:rPr>
          <w:rFonts w:ascii="標楷體" w:eastAsia="標楷體" w:hAnsi="標楷體" w:cs="標楷體" w:hint="eastAsia"/>
          <w:color w:val="FF0000"/>
          <w:sz w:val="28"/>
        </w:rPr>
        <w:t>○</w:t>
      </w:r>
      <w:r>
        <w:rPr>
          <w:rFonts w:ascii="標楷體" w:eastAsia="標楷體" w:hAnsi="標楷體" w:cs="標楷體" w:hint="eastAsia"/>
          <w:color w:val="000000"/>
          <w:sz w:val="28"/>
        </w:rPr>
        <w:t>。</w:t>
      </w:r>
    </w:p>
    <w:p w:rsidR="00053F03" w:rsidRDefault="008820D2">
      <w:pPr>
        <w:numPr>
          <w:ilvl w:val="0"/>
          <w:numId w:val="20"/>
        </w:numPr>
        <w:snapToGrid w:val="0"/>
        <w:spacing w:line="400" w:lineRule="exact"/>
        <w:contextualSpacing/>
        <w:jc w:val="both"/>
      </w:pPr>
      <w:r>
        <w:rPr>
          <w:rFonts w:eastAsia="標楷體" w:cs="標楷體"/>
          <w:color w:val="000000"/>
          <w:sz w:val="28"/>
          <w:szCs w:val="32"/>
        </w:rPr>
        <w:t>辦理公開標租時，投標廠商有</w:t>
      </w:r>
      <w:r>
        <w:rPr>
          <w:rFonts w:eastAsia="標楷體" w:cs="標楷體" w:hint="eastAsia"/>
          <w:color w:val="000000"/>
          <w:sz w:val="28"/>
          <w:szCs w:val="32"/>
        </w:rPr>
        <w:t>一</w:t>
      </w:r>
      <w:r>
        <w:rPr>
          <w:rFonts w:eastAsia="標楷體" w:cs="標楷體"/>
          <w:color w:val="000000"/>
          <w:sz w:val="28"/>
          <w:szCs w:val="32"/>
        </w:rPr>
        <w:t>家以上</w:t>
      </w:r>
      <w:r>
        <w:rPr>
          <w:rFonts w:eastAsia="標楷體" w:cs="標楷體" w:hint="eastAsia"/>
          <w:color w:val="000000"/>
          <w:sz w:val="28"/>
          <w:szCs w:val="32"/>
        </w:rPr>
        <w:t>且</w:t>
      </w:r>
      <w:r>
        <w:rPr>
          <w:rFonts w:eastAsia="標楷體" w:cs="標楷體"/>
          <w:color w:val="000000"/>
          <w:sz w:val="28"/>
          <w:szCs w:val="32"/>
        </w:rPr>
        <w:t>廠商符合下列情形，即應依所定時間開標；開標時發現投標廠商有串通圍標之嫌疑者，除當場宣布廢標外，若查有確證將依法辦理：</w:t>
      </w:r>
    </w:p>
    <w:p w:rsidR="00053F03" w:rsidRDefault="008820D2">
      <w:pPr>
        <w:numPr>
          <w:ilvl w:val="0"/>
          <w:numId w:val="14"/>
        </w:numPr>
        <w:snapToGrid w:val="0"/>
        <w:spacing w:line="400" w:lineRule="exact"/>
        <w:contextualSpacing/>
        <w:jc w:val="both"/>
      </w:pPr>
      <w:r>
        <w:rPr>
          <w:rFonts w:eastAsia="標楷體" w:cs="標楷體"/>
          <w:color w:val="000000"/>
          <w:sz w:val="28"/>
          <w:szCs w:val="28"/>
        </w:rPr>
        <w:t>投標文件已書面密封。</w:t>
      </w:r>
    </w:p>
    <w:p w:rsidR="00053F03" w:rsidRDefault="008820D2">
      <w:pPr>
        <w:numPr>
          <w:ilvl w:val="0"/>
          <w:numId w:val="14"/>
        </w:numPr>
        <w:snapToGrid w:val="0"/>
        <w:spacing w:line="400" w:lineRule="exact"/>
        <w:contextualSpacing/>
        <w:jc w:val="both"/>
      </w:pPr>
      <w:r>
        <w:rPr>
          <w:rFonts w:eastAsia="標楷體" w:cs="標楷體" w:hint="eastAsia"/>
          <w:color w:val="000000"/>
          <w:sz w:val="28"/>
          <w:szCs w:val="28"/>
        </w:rPr>
        <w:t>標</w:t>
      </w:r>
      <w:r>
        <w:rPr>
          <w:rFonts w:eastAsia="標楷體" w:cs="標楷體"/>
          <w:color w:val="000000"/>
          <w:sz w:val="28"/>
          <w:szCs w:val="28"/>
        </w:rPr>
        <w:t>封上載明廠商名稱地址。</w:t>
      </w:r>
    </w:p>
    <w:p w:rsidR="00053F03" w:rsidRDefault="008820D2">
      <w:pPr>
        <w:numPr>
          <w:ilvl w:val="0"/>
          <w:numId w:val="14"/>
        </w:numPr>
        <w:snapToGrid w:val="0"/>
        <w:spacing w:line="400" w:lineRule="exact"/>
        <w:contextualSpacing/>
        <w:jc w:val="both"/>
      </w:pPr>
      <w:r>
        <w:rPr>
          <w:rFonts w:eastAsia="標楷體" w:cs="標楷體"/>
          <w:color w:val="000000"/>
          <w:sz w:val="28"/>
          <w:szCs w:val="28"/>
        </w:rPr>
        <w:t>投標文件已於截止期限前寄</w:t>
      </w:r>
      <w:r>
        <w:rPr>
          <w:rFonts w:eastAsia="標楷體" w:cs="標楷體"/>
          <w:color w:val="000000"/>
          <w:sz w:val="28"/>
          <w:szCs w:val="28"/>
        </w:rPr>
        <w:t>(</w:t>
      </w:r>
      <w:r>
        <w:rPr>
          <w:rFonts w:eastAsia="標楷體" w:cs="標楷體"/>
          <w:color w:val="000000"/>
          <w:sz w:val="28"/>
          <w:szCs w:val="28"/>
        </w:rPr>
        <w:t>送</w:t>
      </w:r>
      <w:r>
        <w:rPr>
          <w:rFonts w:eastAsia="標楷體" w:cs="標楷體"/>
          <w:color w:val="000000"/>
          <w:sz w:val="28"/>
          <w:szCs w:val="28"/>
        </w:rPr>
        <w:t>)</w:t>
      </w:r>
      <w:r>
        <w:rPr>
          <w:rFonts w:eastAsia="標楷體" w:cs="標楷體"/>
          <w:color w:val="000000"/>
          <w:sz w:val="28"/>
          <w:szCs w:val="28"/>
        </w:rPr>
        <w:t>達本</w:t>
      </w:r>
      <w:r w:rsidR="00813B66">
        <w:rPr>
          <w:rFonts w:eastAsia="標楷體" w:cs="標楷體" w:hint="eastAsia"/>
          <w:color w:val="000000"/>
          <w:sz w:val="28"/>
          <w:szCs w:val="28"/>
        </w:rPr>
        <w:t>會</w:t>
      </w:r>
      <w:r>
        <w:rPr>
          <w:rFonts w:eastAsia="標楷體" w:cs="標楷體"/>
          <w:color w:val="000000"/>
          <w:sz w:val="28"/>
          <w:szCs w:val="28"/>
        </w:rPr>
        <w:t>指定之場所。</w:t>
      </w:r>
    </w:p>
    <w:p w:rsidR="00053F03" w:rsidRDefault="008820D2">
      <w:pPr>
        <w:numPr>
          <w:ilvl w:val="0"/>
          <w:numId w:val="14"/>
        </w:numPr>
        <w:snapToGrid w:val="0"/>
        <w:spacing w:line="400" w:lineRule="exact"/>
        <w:contextualSpacing/>
        <w:jc w:val="both"/>
      </w:pPr>
      <w:r>
        <w:rPr>
          <w:rFonts w:eastAsia="標楷體" w:cs="標楷體"/>
          <w:color w:val="000000"/>
          <w:sz w:val="28"/>
          <w:szCs w:val="28"/>
        </w:rPr>
        <w:lastRenderedPageBreak/>
        <w:t>廠商無下列情形：</w:t>
      </w:r>
    </w:p>
    <w:p w:rsidR="00053F03" w:rsidRDefault="008820D2">
      <w:pPr>
        <w:snapToGrid w:val="0"/>
        <w:spacing w:line="400" w:lineRule="exact"/>
        <w:ind w:left="2129" w:hanging="283"/>
        <w:contextualSpacing/>
        <w:jc w:val="both"/>
      </w:pPr>
      <w:r>
        <w:rPr>
          <w:rFonts w:eastAsia="標楷體"/>
          <w:color w:val="000000"/>
          <w:sz w:val="28"/>
          <w:szCs w:val="28"/>
        </w:rPr>
        <w:t>(1)</w:t>
      </w:r>
      <w:r>
        <w:rPr>
          <w:rFonts w:eastAsia="標楷體" w:cs="標楷體"/>
          <w:color w:val="000000"/>
          <w:sz w:val="28"/>
          <w:szCs w:val="28"/>
        </w:rPr>
        <w:t>未依招標文件之規定投標。</w:t>
      </w:r>
    </w:p>
    <w:p w:rsidR="00053F03" w:rsidRDefault="008820D2">
      <w:pPr>
        <w:snapToGrid w:val="0"/>
        <w:spacing w:line="400" w:lineRule="exact"/>
        <w:ind w:left="2129" w:hanging="283"/>
        <w:contextualSpacing/>
        <w:jc w:val="both"/>
      </w:pPr>
      <w:r>
        <w:rPr>
          <w:rFonts w:eastAsia="標楷體"/>
          <w:color w:val="000000"/>
          <w:sz w:val="28"/>
          <w:szCs w:val="28"/>
        </w:rPr>
        <w:t>(2)</w:t>
      </w:r>
      <w:r>
        <w:rPr>
          <w:rFonts w:eastAsia="標楷體" w:cs="標楷體"/>
          <w:color w:val="000000"/>
          <w:sz w:val="28"/>
          <w:szCs w:val="28"/>
        </w:rPr>
        <w:t>投標文件內容不符合招標文件之規定。</w:t>
      </w:r>
    </w:p>
    <w:p w:rsidR="00053F03" w:rsidRDefault="008820D2">
      <w:pPr>
        <w:snapToGrid w:val="0"/>
        <w:spacing w:line="400" w:lineRule="exact"/>
        <w:ind w:left="2129" w:hanging="283"/>
        <w:contextualSpacing/>
        <w:jc w:val="both"/>
      </w:pPr>
      <w:r>
        <w:rPr>
          <w:rFonts w:eastAsia="標楷體"/>
          <w:color w:val="000000"/>
          <w:sz w:val="28"/>
          <w:szCs w:val="28"/>
        </w:rPr>
        <w:t>(3)</w:t>
      </w:r>
      <w:r>
        <w:rPr>
          <w:rFonts w:eastAsia="標楷體" w:cs="標楷體"/>
          <w:color w:val="000000"/>
          <w:sz w:val="28"/>
          <w:szCs w:val="28"/>
        </w:rPr>
        <w:t>借用或冒用他人名義或證件，或以偽造、變造之文件投標。</w:t>
      </w:r>
    </w:p>
    <w:p w:rsidR="00053F03" w:rsidRDefault="008820D2">
      <w:pPr>
        <w:snapToGrid w:val="0"/>
        <w:spacing w:line="400" w:lineRule="exact"/>
        <w:ind w:left="2129" w:hanging="283"/>
        <w:contextualSpacing/>
        <w:jc w:val="both"/>
      </w:pPr>
      <w:r>
        <w:rPr>
          <w:rFonts w:eastAsia="標楷體"/>
          <w:color w:val="000000"/>
          <w:sz w:val="28"/>
          <w:szCs w:val="28"/>
        </w:rPr>
        <w:t>(4)</w:t>
      </w:r>
      <w:r>
        <w:rPr>
          <w:rFonts w:eastAsia="標楷體" w:cs="標楷體"/>
          <w:color w:val="000000"/>
          <w:sz w:val="28"/>
          <w:szCs w:val="28"/>
        </w:rPr>
        <w:t>偽造或變造投標文件。</w:t>
      </w:r>
    </w:p>
    <w:p w:rsidR="00053F03" w:rsidRDefault="008820D2">
      <w:pPr>
        <w:snapToGrid w:val="0"/>
        <w:spacing w:line="400" w:lineRule="exact"/>
        <w:ind w:left="2129" w:hanging="283"/>
        <w:contextualSpacing/>
        <w:jc w:val="both"/>
      </w:pPr>
      <w:r>
        <w:rPr>
          <w:rFonts w:eastAsia="標楷體"/>
          <w:color w:val="000000"/>
          <w:sz w:val="28"/>
          <w:szCs w:val="28"/>
        </w:rPr>
        <w:t>(5)</w:t>
      </w:r>
      <w:r>
        <w:rPr>
          <w:rFonts w:eastAsia="標楷體" w:cs="標楷體"/>
          <w:color w:val="000000"/>
          <w:sz w:val="28"/>
          <w:szCs w:val="28"/>
        </w:rPr>
        <w:t>提供審標服務之廠商，於該服務有關之標租。</w:t>
      </w:r>
    </w:p>
    <w:p w:rsidR="00053F03" w:rsidRDefault="00167D15" w:rsidP="00167D15">
      <w:pPr>
        <w:snapToGrid w:val="0"/>
        <w:spacing w:line="400" w:lineRule="exact"/>
        <w:ind w:left="2132" w:hanging="284"/>
        <w:contextualSpacing/>
        <w:jc w:val="both"/>
      </w:pPr>
      <w:r>
        <w:rPr>
          <w:rFonts w:eastAsia="標楷體"/>
          <w:color w:val="000000"/>
          <w:sz w:val="28"/>
          <w:szCs w:val="28"/>
        </w:rPr>
        <w:t>(</w:t>
      </w:r>
      <w:r>
        <w:rPr>
          <w:rFonts w:eastAsia="標楷體" w:hint="eastAsia"/>
          <w:color w:val="000000"/>
          <w:sz w:val="28"/>
          <w:szCs w:val="28"/>
        </w:rPr>
        <w:t>6</w:t>
      </w:r>
      <w:r w:rsidR="008820D2">
        <w:rPr>
          <w:rFonts w:eastAsia="標楷體"/>
          <w:color w:val="000000"/>
          <w:sz w:val="28"/>
          <w:szCs w:val="28"/>
        </w:rPr>
        <w:t>)</w:t>
      </w:r>
      <w:r w:rsidR="008820D2">
        <w:rPr>
          <w:rFonts w:eastAsia="標楷體" w:cs="標楷體"/>
          <w:color w:val="000000"/>
          <w:sz w:val="28"/>
          <w:szCs w:val="28"/>
        </w:rPr>
        <w:t>因履行機關契約而知悉其他廠商無法知悉或應秘密之資訊之廠商，於使用該等資訊有利於該廠商得標之標租。</w:t>
      </w:r>
    </w:p>
    <w:p w:rsidR="00053F03" w:rsidRDefault="008820D2">
      <w:pPr>
        <w:pStyle w:val="a"/>
        <w:numPr>
          <w:ilvl w:val="0"/>
          <w:numId w:val="5"/>
        </w:numPr>
        <w:snapToGrid w:val="0"/>
        <w:spacing w:line="400" w:lineRule="exact"/>
        <w:ind w:left="561" w:hanging="561"/>
        <w:contextualSpacing/>
        <w:rPr>
          <w:rFonts w:hint="default"/>
        </w:rPr>
      </w:pPr>
      <w:r>
        <w:rPr>
          <w:rFonts w:ascii="Times New Roman" w:hAnsi="Times New Roman" w:cs="Times New Roman" w:hint="default"/>
          <w:color w:val="000000"/>
          <w:szCs w:val="28"/>
        </w:rPr>
        <w:t>決標：</w:t>
      </w:r>
    </w:p>
    <w:p w:rsidR="00053F03" w:rsidRDefault="008820D2">
      <w:pPr>
        <w:numPr>
          <w:ilvl w:val="0"/>
          <w:numId w:val="16"/>
        </w:numPr>
        <w:snapToGrid w:val="0"/>
        <w:spacing w:line="400" w:lineRule="exact"/>
        <w:contextualSpacing/>
        <w:jc w:val="both"/>
      </w:pPr>
      <w:r>
        <w:rPr>
          <w:rFonts w:eastAsia="標楷體" w:cs="標楷體" w:hint="eastAsia"/>
          <w:color w:val="000000"/>
          <w:sz w:val="28"/>
          <w:szCs w:val="32"/>
        </w:rPr>
        <w:t>本標租案參考「採購評選委員會審議規則」及「最有利標評選辦法」等相關規定辦理評選，以適用最有利標方式辦理，採序位法，價格納入評比，評選須知詳如附件</w:t>
      </w:r>
      <w:r>
        <w:rPr>
          <w:rFonts w:eastAsia="標楷體" w:cs="標楷體" w:hint="eastAsia"/>
          <w:color w:val="000000"/>
          <w:sz w:val="28"/>
          <w:szCs w:val="32"/>
        </w:rPr>
        <w:t>9</w:t>
      </w:r>
      <w:r>
        <w:rPr>
          <w:rFonts w:eastAsia="標楷體" w:cs="標楷體" w:hint="eastAsia"/>
          <w:color w:val="000000"/>
          <w:sz w:val="28"/>
          <w:szCs w:val="32"/>
        </w:rPr>
        <w:t>。</w:t>
      </w:r>
    </w:p>
    <w:p w:rsidR="00053F03" w:rsidRDefault="008820D2">
      <w:pPr>
        <w:numPr>
          <w:ilvl w:val="0"/>
          <w:numId w:val="16"/>
        </w:numPr>
        <w:snapToGrid w:val="0"/>
        <w:spacing w:line="400" w:lineRule="exact"/>
        <w:contextualSpacing/>
        <w:jc w:val="both"/>
      </w:pPr>
      <w:r>
        <w:rPr>
          <w:rFonts w:eastAsia="標楷體" w:cs="標楷體"/>
          <w:color w:val="000000"/>
          <w:sz w:val="28"/>
          <w:szCs w:val="32"/>
        </w:rPr>
        <w:t>本標租案倘僅有一家投標，其所投標內容符合投標文件規定者，亦得開標、決標。</w:t>
      </w:r>
    </w:p>
    <w:p w:rsidR="00053F03" w:rsidRDefault="008820D2">
      <w:pPr>
        <w:numPr>
          <w:ilvl w:val="0"/>
          <w:numId w:val="16"/>
        </w:numPr>
        <w:snapToGrid w:val="0"/>
        <w:spacing w:line="400" w:lineRule="exact"/>
        <w:contextualSpacing/>
        <w:jc w:val="both"/>
      </w:pPr>
      <w:r>
        <w:rPr>
          <w:rFonts w:eastAsia="標楷體" w:cs="標楷體" w:hint="eastAsia"/>
          <w:color w:val="000000"/>
          <w:sz w:val="28"/>
          <w:szCs w:val="32"/>
        </w:rPr>
        <w:t>評選委員會議評定優勝廠商後，評選結果簽報</w:t>
      </w:r>
      <w:r w:rsidR="00DB57A6">
        <w:rPr>
          <w:rFonts w:eastAsia="標楷體" w:cs="標楷體" w:hint="eastAsia"/>
          <w:color w:val="000000"/>
          <w:sz w:val="28"/>
          <w:szCs w:val="32"/>
        </w:rPr>
        <w:t>本會</w:t>
      </w:r>
      <w:r>
        <w:rPr>
          <w:rFonts w:eastAsia="標楷體" w:cs="標楷體" w:hint="eastAsia"/>
          <w:color w:val="000000"/>
          <w:sz w:val="28"/>
          <w:szCs w:val="32"/>
        </w:rPr>
        <w:t>核定後，辦理決標。</w:t>
      </w:r>
    </w:p>
    <w:p w:rsidR="00053F03" w:rsidRDefault="008820D2">
      <w:pPr>
        <w:pStyle w:val="a"/>
        <w:numPr>
          <w:ilvl w:val="0"/>
          <w:numId w:val="5"/>
        </w:numPr>
        <w:snapToGrid w:val="0"/>
        <w:spacing w:line="400" w:lineRule="exact"/>
        <w:ind w:left="561" w:hanging="561"/>
        <w:contextualSpacing/>
        <w:rPr>
          <w:rFonts w:hint="default"/>
        </w:rPr>
      </w:pPr>
      <w:r>
        <w:rPr>
          <w:rFonts w:ascii="Times New Roman" w:hAnsi="Times New Roman" w:cs="Times New Roman" w:hint="default"/>
          <w:color w:val="000000"/>
          <w:szCs w:val="28"/>
        </w:rPr>
        <w:t>簽約及公證：</w:t>
      </w:r>
    </w:p>
    <w:p w:rsidR="00053F03" w:rsidRDefault="008820D2">
      <w:pPr>
        <w:numPr>
          <w:ilvl w:val="0"/>
          <w:numId w:val="19"/>
        </w:numPr>
        <w:snapToGrid w:val="0"/>
        <w:spacing w:line="400" w:lineRule="exact"/>
        <w:contextualSpacing/>
        <w:jc w:val="both"/>
      </w:pPr>
      <w:r>
        <w:rPr>
          <w:rFonts w:eastAsia="標楷體" w:cs="標楷體"/>
          <w:color w:val="000000"/>
          <w:sz w:val="28"/>
          <w:szCs w:val="32"/>
        </w:rPr>
        <w:t>得標廠商應於決標日之次日起</w:t>
      </w:r>
      <w:r>
        <w:rPr>
          <w:rFonts w:eastAsia="標楷體" w:cs="標楷體"/>
          <w:color w:val="000000"/>
          <w:sz w:val="28"/>
          <w:szCs w:val="32"/>
        </w:rPr>
        <w:t>30</w:t>
      </w:r>
      <w:r>
        <w:rPr>
          <w:rFonts w:eastAsia="標楷體" w:cs="標楷體"/>
          <w:color w:val="000000"/>
          <w:sz w:val="28"/>
          <w:szCs w:val="32"/>
        </w:rPr>
        <w:t>日內</w:t>
      </w:r>
      <w:r>
        <w:rPr>
          <w:rFonts w:eastAsia="標楷體" w:cs="標楷體" w:hint="eastAsia"/>
          <w:color w:val="000000"/>
          <w:sz w:val="28"/>
          <w:szCs w:val="32"/>
        </w:rPr>
        <w:t>辦理簽約。</w:t>
      </w:r>
      <w:r>
        <w:rPr>
          <w:rFonts w:eastAsia="標楷體" w:cs="標楷體"/>
          <w:color w:val="000000"/>
          <w:sz w:val="28"/>
          <w:szCs w:val="32"/>
        </w:rPr>
        <w:t>未於規定期限內</w:t>
      </w:r>
      <w:r>
        <w:rPr>
          <w:rFonts w:eastAsia="標楷體" w:cs="標楷體" w:hint="eastAsia"/>
          <w:color w:val="000000"/>
          <w:sz w:val="28"/>
          <w:szCs w:val="32"/>
        </w:rPr>
        <w:t>完成契約簽訂</w:t>
      </w:r>
      <w:r>
        <w:rPr>
          <w:rFonts w:eastAsia="標楷體" w:cs="標楷體"/>
          <w:color w:val="000000"/>
          <w:sz w:val="28"/>
          <w:szCs w:val="32"/>
        </w:rPr>
        <w:t>者視為放棄得標權利，其所繳之押標金，不予發還。</w:t>
      </w:r>
    </w:p>
    <w:p w:rsidR="00053F03" w:rsidRDefault="008820D2">
      <w:pPr>
        <w:numPr>
          <w:ilvl w:val="0"/>
          <w:numId w:val="19"/>
        </w:numPr>
        <w:snapToGrid w:val="0"/>
        <w:spacing w:line="400" w:lineRule="exact"/>
        <w:contextualSpacing/>
        <w:jc w:val="both"/>
      </w:pPr>
      <w:r>
        <w:rPr>
          <w:rFonts w:eastAsia="標楷體" w:cs="標楷體"/>
          <w:color w:val="000000"/>
          <w:sz w:val="28"/>
          <w:szCs w:val="32"/>
        </w:rPr>
        <w:t>得標廠商逾期未簽訂契約</w:t>
      </w:r>
      <w:r>
        <w:rPr>
          <w:rFonts w:eastAsia="標楷體" w:cs="標楷體" w:hint="eastAsia"/>
          <w:color w:val="000000"/>
          <w:sz w:val="28"/>
          <w:szCs w:val="32"/>
        </w:rPr>
        <w:t>者</w:t>
      </w:r>
      <w:r>
        <w:rPr>
          <w:rFonts w:eastAsia="標楷體" w:cs="標楷體"/>
          <w:color w:val="000000"/>
          <w:sz w:val="28"/>
          <w:szCs w:val="32"/>
        </w:rPr>
        <w:t>，取消得標資格。</w:t>
      </w:r>
    </w:p>
    <w:p w:rsidR="00053F03" w:rsidRDefault="008820D2">
      <w:pPr>
        <w:numPr>
          <w:ilvl w:val="0"/>
          <w:numId w:val="19"/>
        </w:numPr>
        <w:snapToGrid w:val="0"/>
        <w:spacing w:line="400" w:lineRule="exact"/>
        <w:contextualSpacing/>
        <w:jc w:val="both"/>
      </w:pPr>
      <w:r>
        <w:rPr>
          <w:rFonts w:eastAsia="標楷體" w:cs="標楷體"/>
          <w:color w:val="000000"/>
          <w:sz w:val="28"/>
          <w:szCs w:val="32"/>
        </w:rPr>
        <w:t>得標廠商與</w:t>
      </w:r>
      <w:r w:rsidR="00DB57A6">
        <w:rPr>
          <w:rFonts w:eastAsia="標楷體" w:cs="標楷體" w:hint="eastAsia"/>
          <w:color w:val="000000"/>
          <w:sz w:val="28"/>
          <w:szCs w:val="32"/>
        </w:rPr>
        <w:t>本會</w:t>
      </w:r>
      <w:r>
        <w:rPr>
          <w:rFonts w:eastAsia="標楷體" w:cs="標楷體"/>
          <w:color w:val="000000"/>
          <w:sz w:val="28"/>
          <w:szCs w:val="32"/>
        </w:rPr>
        <w:t>簽訂租賃契約後，應於</w:t>
      </w:r>
      <w:r w:rsidR="00DB57A6">
        <w:rPr>
          <w:rFonts w:eastAsia="標楷體" w:cs="標楷體" w:hint="eastAsia"/>
          <w:color w:val="000000"/>
          <w:sz w:val="28"/>
          <w:szCs w:val="32"/>
        </w:rPr>
        <w:t>本會</w:t>
      </w:r>
      <w:r>
        <w:rPr>
          <w:rFonts w:eastAsia="標楷體" w:cs="標楷體"/>
          <w:color w:val="000000"/>
          <w:sz w:val="28"/>
          <w:szCs w:val="32"/>
        </w:rPr>
        <w:t>通知之時間內完成公證手續，並依公證法第</w:t>
      </w:r>
      <w:r>
        <w:rPr>
          <w:rFonts w:eastAsia="標楷體" w:cs="標楷體"/>
          <w:color w:val="000000"/>
          <w:sz w:val="28"/>
          <w:szCs w:val="32"/>
        </w:rPr>
        <w:t>13</w:t>
      </w:r>
      <w:r>
        <w:rPr>
          <w:rFonts w:eastAsia="標楷體" w:cs="標楷體"/>
          <w:color w:val="000000"/>
          <w:sz w:val="28"/>
          <w:szCs w:val="32"/>
        </w:rPr>
        <w:t>條載明屆期不履行應逕受強制執行之意旨；公證費用由得標廠商負擔。</w:t>
      </w:r>
    </w:p>
    <w:p w:rsidR="00053F03" w:rsidRDefault="008820D2">
      <w:pPr>
        <w:pStyle w:val="a"/>
        <w:numPr>
          <w:ilvl w:val="0"/>
          <w:numId w:val="5"/>
        </w:numPr>
        <w:snapToGrid w:val="0"/>
        <w:spacing w:line="400" w:lineRule="exact"/>
        <w:ind w:left="561" w:hanging="561"/>
        <w:contextualSpacing/>
        <w:rPr>
          <w:rFonts w:hint="default"/>
        </w:rPr>
      </w:pPr>
      <w:r>
        <w:rPr>
          <w:rFonts w:ascii="Times New Roman" w:hAnsi="Times New Roman" w:cs="Times New Roman" w:hint="default"/>
          <w:color w:val="000000"/>
          <w:szCs w:val="28"/>
        </w:rPr>
        <w:t>履約保證金：</w:t>
      </w:r>
    </w:p>
    <w:p w:rsidR="00053F03" w:rsidRDefault="008820D2">
      <w:pPr>
        <w:numPr>
          <w:ilvl w:val="0"/>
          <w:numId w:val="7"/>
        </w:numPr>
        <w:snapToGrid w:val="0"/>
        <w:spacing w:line="400" w:lineRule="exact"/>
        <w:contextualSpacing/>
        <w:jc w:val="both"/>
      </w:pPr>
      <w:r>
        <w:rPr>
          <w:rFonts w:eastAsia="標楷體" w:cs="標楷體"/>
          <w:color w:val="000000"/>
          <w:sz w:val="28"/>
          <w:szCs w:val="32"/>
        </w:rPr>
        <w:t>履約保證金金額為新臺幣</w:t>
      </w:r>
      <w:r w:rsidR="00813B66" w:rsidRPr="00813B66">
        <w:rPr>
          <w:rFonts w:eastAsia="標楷體" w:cs="標楷體" w:hint="eastAsia"/>
          <w:color w:val="FF0000"/>
          <w:sz w:val="28"/>
          <w:szCs w:val="32"/>
          <w:u w:val="single"/>
        </w:rPr>
        <w:t>○</w:t>
      </w:r>
      <w:r>
        <w:rPr>
          <w:rFonts w:eastAsia="標楷體" w:cs="標楷體"/>
          <w:color w:val="000000"/>
          <w:sz w:val="28"/>
          <w:szCs w:val="32"/>
        </w:rPr>
        <w:t>萬元。</w:t>
      </w:r>
      <w:r>
        <w:rPr>
          <w:rFonts w:eastAsia="標楷體" w:cs="標楷體" w:hint="eastAsia"/>
          <w:color w:val="000000"/>
          <w:sz w:val="28"/>
          <w:szCs w:val="32"/>
        </w:rPr>
        <w:t>履約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保證金暨其他擔保作業辦法規定之格式。</w:t>
      </w:r>
    </w:p>
    <w:p w:rsidR="00053F03" w:rsidRDefault="008820D2">
      <w:pPr>
        <w:numPr>
          <w:ilvl w:val="0"/>
          <w:numId w:val="7"/>
        </w:numPr>
        <w:snapToGrid w:val="0"/>
        <w:spacing w:line="400" w:lineRule="exact"/>
        <w:contextualSpacing/>
        <w:jc w:val="both"/>
      </w:pPr>
      <w:r>
        <w:rPr>
          <w:rFonts w:eastAsia="標楷體" w:cs="標楷體"/>
          <w:color w:val="000000"/>
          <w:sz w:val="28"/>
          <w:szCs w:val="32"/>
        </w:rPr>
        <w:t>得標廠商於決標次日起</w:t>
      </w:r>
      <w:r>
        <w:rPr>
          <w:rFonts w:eastAsia="標楷體" w:cs="標楷體"/>
          <w:color w:val="000000"/>
          <w:sz w:val="28"/>
          <w:szCs w:val="32"/>
        </w:rPr>
        <w:t>20</w:t>
      </w:r>
      <w:r>
        <w:rPr>
          <w:rFonts w:eastAsia="標楷體" w:cs="標楷體"/>
          <w:color w:val="000000"/>
          <w:sz w:val="28"/>
          <w:szCs w:val="32"/>
        </w:rPr>
        <w:t>日內（末日為例假日者順延一日），</w:t>
      </w:r>
      <w:r>
        <w:rPr>
          <w:rFonts w:eastAsia="標楷體" w:cs="標楷體"/>
          <w:color w:val="000000"/>
          <w:sz w:val="28"/>
          <w:szCs w:val="32"/>
        </w:rPr>
        <w:lastRenderedPageBreak/>
        <w:t>應</w:t>
      </w:r>
      <w:r>
        <w:rPr>
          <w:rFonts w:eastAsia="標楷體" w:cs="標楷體" w:hint="eastAsia"/>
          <w:color w:val="000000"/>
          <w:sz w:val="28"/>
          <w:szCs w:val="32"/>
        </w:rPr>
        <w:t>繳納</w:t>
      </w:r>
      <w:r>
        <w:rPr>
          <w:rFonts w:eastAsia="標楷體" w:cs="標楷體"/>
          <w:color w:val="000000"/>
          <w:sz w:val="28"/>
          <w:szCs w:val="32"/>
        </w:rPr>
        <w:t>履約保證金。得標廠商</w:t>
      </w:r>
      <w:r>
        <w:rPr>
          <w:rFonts w:eastAsia="標楷體" w:hint="eastAsia"/>
          <w:color w:val="000000"/>
          <w:sz w:val="28"/>
          <w:szCs w:val="32"/>
        </w:rPr>
        <w:t>應以下列方式繳納：</w:t>
      </w:r>
      <w:r>
        <w:rPr>
          <w:rFonts w:eastAsia="標楷體" w:hint="eastAsia"/>
          <w:color w:val="000000"/>
          <w:sz w:val="28"/>
          <w:szCs w:val="32"/>
        </w:rPr>
        <w:t>1.</w:t>
      </w:r>
      <w:r>
        <w:rPr>
          <w:rFonts w:eastAsia="標楷體"/>
          <w:color w:val="000000"/>
          <w:sz w:val="28"/>
        </w:rPr>
        <w:t>票據繳交：受款人抬頭為</w:t>
      </w:r>
      <w:r w:rsidRPr="00813B66">
        <w:rPr>
          <w:rFonts w:eastAsia="標楷體"/>
          <w:color w:val="FF0000"/>
          <w:sz w:val="28"/>
        </w:rPr>
        <w:t>『</w:t>
      </w:r>
      <w:r w:rsidR="00813B66" w:rsidRPr="00813B66">
        <w:rPr>
          <w:rFonts w:ascii="標楷體" w:eastAsia="標楷體" w:hAnsi="標楷體" w:cs="標楷體" w:hint="eastAsia"/>
          <w:color w:val="FF0000"/>
          <w:sz w:val="28"/>
          <w:szCs w:val="32"/>
          <w:u w:val="single"/>
        </w:rPr>
        <w:t>○</w:t>
      </w:r>
      <w:r w:rsidRPr="00813B66">
        <w:rPr>
          <w:rFonts w:eastAsia="標楷體"/>
          <w:color w:val="FF0000"/>
          <w:sz w:val="28"/>
        </w:rPr>
        <w:t>』</w:t>
      </w:r>
      <w:r w:rsidRPr="00813B66">
        <w:rPr>
          <w:rFonts w:eastAsia="標楷體"/>
          <w:color w:val="FF0000"/>
          <w:sz w:val="28"/>
          <w:szCs w:val="32"/>
        </w:rPr>
        <w:t>。</w:t>
      </w:r>
      <w:r w:rsidRPr="00813B66">
        <w:rPr>
          <w:rFonts w:eastAsia="標楷體"/>
          <w:color w:val="FF0000"/>
          <w:sz w:val="28"/>
          <w:szCs w:val="32"/>
        </w:rPr>
        <w:t>2.</w:t>
      </w:r>
      <w:r w:rsidRPr="00813B66">
        <w:rPr>
          <w:rFonts w:eastAsia="標楷體" w:hint="eastAsia"/>
          <w:color w:val="FF0000"/>
          <w:sz w:val="28"/>
          <w:szCs w:val="32"/>
        </w:rPr>
        <w:t>以現金繳納：匯入『</w:t>
      </w:r>
      <w:r w:rsidR="00813B66" w:rsidRPr="00813B66">
        <w:rPr>
          <w:rFonts w:eastAsia="標楷體" w:hint="eastAsia"/>
          <w:color w:val="FF0000"/>
          <w:sz w:val="28"/>
          <w:szCs w:val="32"/>
        </w:rPr>
        <w:t>○</w:t>
      </w:r>
      <w:r w:rsidRPr="00813B66">
        <w:rPr>
          <w:rFonts w:eastAsia="標楷體" w:hint="eastAsia"/>
          <w:color w:val="FF0000"/>
          <w:sz w:val="28"/>
          <w:szCs w:val="32"/>
        </w:rPr>
        <w:t>』戶名『</w:t>
      </w:r>
      <w:r w:rsidR="00813B66" w:rsidRPr="00813B66">
        <w:rPr>
          <w:rFonts w:eastAsia="標楷體" w:hint="eastAsia"/>
          <w:color w:val="FF0000"/>
          <w:sz w:val="28"/>
          <w:szCs w:val="32"/>
        </w:rPr>
        <w:t>○</w:t>
      </w:r>
      <w:r w:rsidRPr="00813B66">
        <w:rPr>
          <w:rFonts w:eastAsia="標楷體" w:hint="eastAsia"/>
          <w:color w:val="FF0000"/>
          <w:sz w:val="28"/>
          <w:szCs w:val="32"/>
        </w:rPr>
        <w:t>』帳號</w:t>
      </w:r>
      <w:r w:rsidR="00813B66" w:rsidRPr="00813B66">
        <w:rPr>
          <w:rFonts w:eastAsia="標楷體" w:hint="eastAsia"/>
          <w:color w:val="FF0000"/>
          <w:sz w:val="28"/>
          <w:szCs w:val="32"/>
        </w:rPr>
        <w:t>○</w:t>
      </w:r>
      <w:r>
        <w:rPr>
          <w:rFonts w:eastAsia="標楷體"/>
          <w:color w:val="000000"/>
          <w:sz w:val="28"/>
          <w:szCs w:val="32"/>
        </w:rPr>
        <w:t>。</w:t>
      </w:r>
    </w:p>
    <w:p w:rsidR="00053F03" w:rsidRDefault="008820D2">
      <w:pPr>
        <w:numPr>
          <w:ilvl w:val="0"/>
          <w:numId w:val="7"/>
        </w:numPr>
        <w:snapToGrid w:val="0"/>
        <w:spacing w:line="400" w:lineRule="exact"/>
        <w:contextualSpacing/>
        <w:jc w:val="both"/>
      </w:pPr>
      <w:r>
        <w:rPr>
          <w:rFonts w:eastAsia="標楷體" w:cs="標楷體"/>
          <w:color w:val="000000"/>
          <w:sz w:val="28"/>
          <w:szCs w:val="32"/>
        </w:rPr>
        <w:t>履約保證金應以得標廠商之名義繳納。</w:t>
      </w:r>
    </w:p>
    <w:p w:rsidR="00053F03" w:rsidRDefault="008820D2">
      <w:pPr>
        <w:numPr>
          <w:ilvl w:val="0"/>
          <w:numId w:val="7"/>
        </w:numPr>
        <w:snapToGrid w:val="0"/>
        <w:spacing w:line="400" w:lineRule="exact"/>
        <w:contextualSpacing/>
        <w:jc w:val="both"/>
      </w:pPr>
      <w:r>
        <w:rPr>
          <w:rFonts w:eastAsia="標楷體" w:cs="標楷體"/>
          <w:color w:val="000000"/>
          <w:sz w:val="28"/>
          <w:szCs w:val="32"/>
        </w:rPr>
        <w:t>得標廠商以其原繳納之押標金轉為履約保證金者，押標金額如超出履約保證金金額，超出之部份無息發還得標之廠商。</w:t>
      </w:r>
    </w:p>
    <w:p w:rsidR="00053F03" w:rsidRDefault="008820D2">
      <w:pPr>
        <w:numPr>
          <w:ilvl w:val="0"/>
          <w:numId w:val="7"/>
        </w:numPr>
        <w:snapToGrid w:val="0"/>
        <w:spacing w:line="400" w:lineRule="exact"/>
        <w:contextualSpacing/>
        <w:jc w:val="both"/>
      </w:pPr>
      <w:r>
        <w:rPr>
          <w:rFonts w:eastAsia="標楷體" w:cs="標楷體"/>
          <w:color w:val="000000"/>
          <w:sz w:val="28"/>
          <w:szCs w:val="32"/>
        </w:rPr>
        <w:t>得標廠商有下列情形之一者，其所繳納之履約保證金及其孳息，不予發還：</w:t>
      </w:r>
    </w:p>
    <w:p w:rsidR="00053F03" w:rsidRDefault="008820D2">
      <w:pPr>
        <w:numPr>
          <w:ilvl w:val="0"/>
          <w:numId w:val="2"/>
        </w:numPr>
        <w:snapToGrid w:val="0"/>
        <w:spacing w:line="400" w:lineRule="exact"/>
        <w:contextualSpacing/>
        <w:jc w:val="both"/>
      </w:pPr>
      <w:r>
        <w:rPr>
          <w:rFonts w:eastAsia="標楷體" w:cs="標楷體"/>
          <w:color w:val="000000"/>
          <w:sz w:val="28"/>
          <w:szCs w:val="28"/>
        </w:rPr>
        <w:t>有「借用或冒用他人名義或證件，或以偽造、變造之文件投標」、「偽造或變造投標文件」情形之一，且得追償損失者，與追償金額相等之履約保證金。</w:t>
      </w:r>
    </w:p>
    <w:p w:rsidR="00053F03" w:rsidRDefault="008820D2">
      <w:pPr>
        <w:numPr>
          <w:ilvl w:val="0"/>
          <w:numId w:val="2"/>
        </w:numPr>
        <w:snapToGrid w:val="0"/>
        <w:spacing w:line="400" w:lineRule="exact"/>
        <w:contextualSpacing/>
        <w:jc w:val="both"/>
      </w:pPr>
      <w:r>
        <w:rPr>
          <w:rFonts w:eastAsia="標楷體" w:cs="標楷體"/>
          <w:color w:val="000000"/>
          <w:sz w:val="28"/>
          <w:szCs w:val="28"/>
        </w:rPr>
        <w:t>因可歸責於廠商之事由，致部份終止或解除契約者，依該部份所占契約金額比率計算之履約保證金；全部終止或解除契約者，全部履約保證金。</w:t>
      </w:r>
    </w:p>
    <w:p w:rsidR="00053F03" w:rsidRDefault="008820D2">
      <w:pPr>
        <w:numPr>
          <w:ilvl w:val="0"/>
          <w:numId w:val="2"/>
        </w:numPr>
        <w:snapToGrid w:val="0"/>
        <w:spacing w:line="400" w:lineRule="exact"/>
        <w:contextualSpacing/>
        <w:jc w:val="both"/>
      </w:pPr>
      <w:r>
        <w:rPr>
          <w:rFonts w:eastAsia="標楷體" w:cs="標楷體"/>
          <w:color w:val="000000"/>
          <w:sz w:val="28"/>
          <w:szCs w:val="28"/>
        </w:rPr>
        <w:t>未依契約規定期限或不動產所有或</w:t>
      </w:r>
      <w:r>
        <w:rPr>
          <w:rFonts w:eastAsia="標楷體" w:cs="標楷體" w:hint="eastAsia"/>
          <w:color w:val="000000"/>
          <w:sz w:val="28"/>
          <w:szCs w:val="28"/>
        </w:rPr>
        <w:t>本</w:t>
      </w:r>
      <w:r w:rsidR="006503FA">
        <w:rPr>
          <w:rFonts w:eastAsia="標楷體" w:cs="標楷體" w:hint="eastAsia"/>
          <w:color w:val="000000"/>
          <w:sz w:val="28"/>
          <w:szCs w:val="28"/>
        </w:rPr>
        <w:t>會</w:t>
      </w:r>
      <w:r>
        <w:rPr>
          <w:rFonts w:eastAsia="標楷體" w:cs="標楷體"/>
          <w:color w:val="000000"/>
          <w:sz w:val="28"/>
          <w:szCs w:val="28"/>
        </w:rPr>
        <w:t>之延長期限履行契約之一部或全部，其逾期違約金之金額，自待付契約價金扣低仍有不足者，與該不足金額相等之履約保證金。</w:t>
      </w:r>
    </w:p>
    <w:p w:rsidR="00053F03" w:rsidRDefault="008820D2">
      <w:pPr>
        <w:numPr>
          <w:ilvl w:val="0"/>
          <w:numId w:val="2"/>
        </w:numPr>
        <w:snapToGrid w:val="0"/>
        <w:spacing w:line="400" w:lineRule="exact"/>
        <w:contextualSpacing/>
        <w:jc w:val="both"/>
      </w:pPr>
      <w:r>
        <w:rPr>
          <w:rFonts w:eastAsia="標楷體" w:cs="標楷體"/>
          <w:color w:val="000000"/>
          <w:sz w:val="28"/>
          <w:szCs w:val="28"/>
        </w:rPr>
        <w:t>未依契約規定延長履約保證金之有效期者，其應延長之履約保證金。</w:t>
      </w:r>
    </w:p>
    <w:p w:rsidR="00053F03" w:rsidRDefault="008820D2">
      <w:pPr>
        <w:numPr>
          <w:ilvl w:val="0"/>
          <w:numId w:val="2"/>
        </w:numPr>
        <w:snapToGrid w:val="0"/>
        <w:spacing w:line="400" w:lineRule="exact"/>
        <w:contextualSpacing/>
        <w:jc w:val="both"/>
      </w:pPr>
      <w:r>
        <w:rPr>
          <w:rFonts w:eastAsia="標楷體" w:cs="標楷體"/>
          <w:color w:val="000000"/>
          <w:sz w:val="28"/>
          <w:szCs w:val="28"/>
        </w:rPr>
        <w:t>其他應可歸責於廠商之事由，致</w:t>
      </w:r>
      <w:r>
        <w:rPr>
          <w:rFonts w:eastAsia="標楷體" w:cs="標楷體" w:hint="eastAsia"/>
          <w:color w:val="000000"/>
          <w:sz w:val="28"/>
          <w:szCs w:val="28"/>
        </w:rPr>
        <w:t>本</w:t>
      </w:r>
      <w:r w:rsidR="006503FA">
        <w:rPr>
          <w:rFonts w:eastAsia="標楷體" w:cs="標楷體" w:hint="eastAsia"/>
          <w:color w:val="000000"/>
          <w:sz w:val="28"/>
          <w:szCs w:val="28"/>
        </w:rPr>
        <w:t>會</w:t>
      </w:r>
      <w:r>
        <w:rPr>
          <w:rFonts w:eastAsia="標楷體" w:cs="標楷體"/>
          <w:color w:val="000000"/>
          <w:sz w:val="28"/>
          <w:szCs w:val="28"/>
        </w:rPr>
        <w:t>遭受損害，其應由廠商賠償而未賠償者，與應賠償金額相等之履約保證金。</w:t>
      </w:r>
    </w:p>
    <w:p w:rsidR="00053F03" w:rsidRDefault="008820D2">
      <w:pPr>
        <w:pStyle w:val="a"/>
        <w:numPr>
          <w:ilvl w:val="0"/>
          <w:numId w:val="5"/>
        </w:numPr>
        <w:snapToGrid w:val="0"/>
        <w:spacing w:line="400" w:lineRule="exact"/>
        <w:ind w:left="845" w:hanging="845"/>
        <w:contextualSpacing/>
        <w:rPr>
          <w:rFonts w:hint="default"/>
        </w:rPr>
      </w:pPr>
      <w:r>
        <w:rPr>
          <w:rFonts w:ascii="Times New Roman" w:hAnsi="Times New Roman" w:cs="Times New Roman"/>
          <w:color w:val="000000"/>
          <w:szCs w:val="28"/>
        </w:rPr>
        <w:t>本標租案</w:t>
      </w:r>
      <w:r>
        <w:rPr>
          <w:rFonts w:ascii="Times New Roman" w:hAnsi="Times New Roman" w:cs="Times New Roman" w:hint="default"/>
          <w:color w:val="000000"/>
          <w:szCs w:val="28"/>
        </w:rPr>
        <w:t>不舉行現場說明</w:t>
      </w:r>
      <w:r>
        <w:rPr>
          <w:rFonts w:ascii="Times New Roman" w:hAnsi="Times New Roman" w:cs="Times New Roman" w:hint="default"/>
          <w:color w:val="000000"/>
          <w:szCs w:val="28"/>
        </w:rPr>
        <w:t>;</w:t>
      </w:r>
      <w:r>
        <w:rPr>
          <w:rFonts w:ascii="Times New Roman" w:hAnsi="Times New Roman" w:cs="Times New Roman" w:hint="default"/>
          <w:color w:val="000000"/>
          <w:szCs w:val="28"/>
        </w:rPr>
        <w:t>投標廠商對招標文件內容有疑義或需澄清者，應於等標期之四分之一</w:t>
      </w:r>
      <w:r>
        <w:rPr>
          <w:rFonts w:ascii="Times New Roman" w:hAnsi="Times New Roman" w:cs="Times New Roman" w:hint="default"/>
          <w:color w:val="000000"/>
          <w:szCs w:val="28"/>
        </w:rPr>
        <w:t>(</w:t>
      </w:r>
      <w:r>
        <w:rPr>
          <w:rFonts w:ascii="Times New Roman" w:hAnsi="Times New Roman" w:cs="Times New Roman" w:hint="default"/>
          <w:color w:val="000000"/>
          <w:szCs w:val="28"/>
        </w:rPr>
        <w:t>不足一日者以一日計</w:t>
      </w:r>
      <w:r>
        <w:rPr>
          <w:rFonts w:ascii="Times New Roman" w:hAnsi="Times New Roman" w:cs="Times New Roman" w:hint="default"/>
          <w:color w:val="000000"/>
          <w:szCs w:val="28"/>
        </w:rPr>
        <w:t>)</w:t>
      </w:r>
      <w:r>
        <w:rPr>
          <w:rFonts w:ascii="Times New Roman" w:hAnsi="Times New Roman" w:cs="Times New Roman" w:hint="default"/>
          <w:color w:val="000000"/>
          <w:szCs w:val="28"/>
        </w:rPr>
        <w:t>期限</w:t>
      </w:r>
      <w:r>
        <w:rPr>
          <w:rFonts w:ascii="Times New Roman" w:hAnsi="Times New Roman" w:cs="Times New Roman" w:hint="default"/>
          <w:color w:val="000000"/>
          <w:szCs w:val="28"/>
        </w:rPr>
        <w:t>(</w:t>
      </w:r>
      <w:r>
        <w:rPr>
          <w:rFonts w:ascii="Times New Roman" w:hAnsi="Times New Roman" w:cs="Times New Roman" w:hint="default"/>
          <w:color w:val="000000"/>
          <w:szCs w:val="28"/>
        </w:rPr>
        <w:t>自公告日起算</w:t>
      </w:r>
      <w:r>
        <w:rPr>
          <w:rFonts w:ascii="Times New Roman" w:hAnsi="Times New Roman" w:cs="Times New Roman" w:hint="default"/>
          <w:color w:val="000000"/>
          <w:szCs w:val="28"/>
        </w:rPr>
        <w:t>)</w:t>
      </w:r>
      <w:r>
        <w:rPr>
          <w:rFonts w:ascii="Times New Roman" w:hAnsi="Times New Roman" w:cs="Times New Roman" w:hint="default"/>
          <w:color w:val="000000"/>
          <w:szCs w:val="28"/>
        </w:rPr>
        <w:t>前，以書面檢具說明理由向本</w:t>
      </w:r>
      <w:r w:rsidR="006503FA">
        <w:rPr>
          <w:rFonts w:ascii="Times New Roman" w:hAnsi="Times New Roman" w:cs="Times New Roman"/>
          <w:color w:val="000000"/>
          <w:szCs w:val="28"/>
        </w:rPr>
        <w:t>會</w:t>
      </w:r>
      <w:r>
        <w:rPr>
          <w:rFonts w:ascii="Times New Roman" w:hAnsi="Times New Roman" w:cs="Times New Roman" w:hint="default"/>
          <w:color w:val="000000"/>
          <w:szCs w:val="28"/>
        </w:rPr>
        <w:t>提出，逾期或未以書面提出者不受理。本</w:t>
      </w:r>
      <w:r w:rsidR="006503FA">
        <w:rPr>
          <w:rFonts w:ascii="Times New Roman" w:hAnsi="Times New Roman" w:cs="Times New Roman"/>
          <w:color w:val="000000"/>
          <w:szCs w:val="28"/>
        </w:rPr>
        <w:t>會</w:t>
      </w:r>
      <w:r>
        <w:rPr>
          <w:rFonts w:ascii="Times New Roman" w:hAnsi="Times New Roman" w:cs="Times New Roman" w:hint="default"/>
          <w:color w:val="000000"/>
          <w:szCs w:val="28"/>
        </w:rPr>
        <w:t>以書面答復請求釋疑之期限為截止投標日之前一日。</w:t>
      </w:r>
    </w:p>
    <w:p w:rsidR="00053F03" w:rsidRDefault="00053F03">
      <w:pPr>
        <w:pStyle w:val="7"/>
        <w:snapToGrid w:val="0"/>
        <w:spacing w:line="360" w:lineRule="auto"/>
        <w:ind w:left="1536" w:hanging="1358"/>
        <w:jc w:val="both"/>
      </w:pPr>
    </w:p>
    <w:sectPr w:rsidR="00053F03">
      <w:footerReference w:type="default" r:id="rId8"/>
      <w:pgSz w:w="11906" w:h="16838"/>
      <w:pgMar w:top="1440" w:right="1516" w:bottom="1440" w:left="1530" w:header="720"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699" w:rsidRDefault="000C6699" w:rsidP="00A717BA">
      <w:r>
        <w:separator/>
      </w:r>
    </w:p>
  </w:endnote>
  <w:endnote w:type="continuationSeparator" w:id="0">
    <w:p w:rsidR="000C6699" w:rsidRDefault="000C6699" w:rsidP="00A7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F03" w:rsidRDefault="000C6699">
    <w:pPr>
      <w:pStyle w:val="af0"/>
    </w:pPr>
    <w:r>
      <w:pict>
        <v:shapetype id="_x0000_t202" coordsize="21600,21600" o:spt="202" path="m,l,21600r21600,l21600,xe">
          <v:stroke joinstyle="miter"/>
          <v:path gradientshapeok="t" o:connecttype="rect"/>
        </v:shapetype>
        <v:shape id="_x0000_s2049" type="#_x0000_t202" style="position:absolute;margin-left:0;margin-top:.05pt;width:4.15pt;height:10.2pt;z-index:251657728;mso-wrap-distance-left:0;mso-wrap-distance-right:0;mso-position-horizontal:center;mso-position-horizontal-relative:margin;mso-position-vertical:absolute;mso-position-vertical-relative:text" stroked="f">
          <v:fill color2="black"/>
          <v:textbox inset="0,0,0,0">
            <w:txbxContent>
              <w:p w:rsidR="00053F03" w:rsidRDefault="008820D2">
                <w:pPr>
                  <w:pStyle w:val="af0"/>
                </w:pPr>
                <w:r>
                  <w:rPr>
                    <w:rStyle w:val="a6"/>
                  </w:rPr>
                  <w:fldChar w:fldCharType="begin"/>
                </w:r>
                <w:r>
                  <w:rPr>
                    <w:rStyle w:val="a6"/>
                  </w:rPr>
                  <w:instrText xml:space="preserve"> PAGE </w:instrText>
                </w:r>
                <w:r>
                  <w:rPr>
                    <w:rStyle w:val="a6"/>
                  </w:rPr>
                  <w:fldChar w:fldCharType="separate"/>
                </w:r>
                <w:r w:rsidR="00AC492E">
                  <w:rPr>
                    <w:rStyle w:val="a6"/>
                    <w:noProof/>
                  </w:rPr>
                  <w:t>1</w:t>
                </w:r>
                <w:r>
                  <w:rPr>
                    <w:rStyle w:val="a6"/>
                  </w:rPr>
                  <w:fldChar w:fldCharType="end"/>
                </w:r>
              </w:p>
            </w:txbxContent>
          </v:textbox>
          <w10:wrap type="square" side="largest"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699" w:rsidRDefault="000C6699" w:rsidP="00A717BA">
      <w:r>
        <w:separator/>
      </w:r>
    </w:p>
  </w:footnote>
  <w:footnote w:type="continuationSeparator" w:id="0">
    <w:p w:rsidR="000C6699" w:rsidRDefault="000C6699" w:rsidP="00A717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1805" w:hanging="480"/>
      </w:pPr>
      <w:rPr>
        <w:rFonts w:eastAsia="標楷體" w:cs="標楷體"/>
        <w:sz w:val="28"/>
        <w:szCs w:val="28"/>
      </w:rPr>
    </w:lvl>
  </w:abstractNum>
  <w:abstractNum w:abstractNumId="2">
    <w:nsid w:val="00000003"/>
    <w:multiLevelType w:val="singleLevel"/>
    <w:tmpl w:val="00000003"/>
    <w:name w:val="WW8Num3"/>
    <w:lvl w:ilvl="0">
      <w:start w:val="1"/>
      <w:numFmt w:val="taiwaneseCountingThousand"/>
      <w:lvlText w:val="(%1)"/>
      <w:lvlJc w:val="left"/>
      <w:pPr>
        <w:tabs>
          <w:tab w:val="num" w:pos="0"/>
        </w:tabs>
        <w:ind w:left="1440" w:hanging="720"/>
      </w:pPr>
      <w:rPr>
        <w:rFonts w:eastAsia="標楷體" w:cs="標楷體" w:hint="default"/>
        <w:sz w:val="28"/>
        <w:szCs w:val="28"/>
      </w:rPr>
    </w:lvl>
  </w:abstractNum>
  <w:abstractNum w:abstractNumId="3">
    <w:nsid w:val="00000004"/>
    <w:multiLevelType w:val="multilevel"/>
    <w:tmpl w:val="00000004"/>
    <w:name w:val="WW8Num4"/>
    <w:lvl w:ilvl="0">
      <w:start w:val="1"/>
      <w:numFmt w:val="taiwaneseCountingThousand"/>
      <w:lvlText w:val="(%1)"/>
      <w:lvlJc w:val="left"/>
      <w:pPr>
        <w:tabs>
          <w:tab w:val="num" w:pos="0"/>
        </w:tabs>
        <w:ind w:left="1440" w:hanging="720"/>
      </w:pPr>
      <w:rPr>
        <w:rFonts w:eastAsia="標楷體" w:cs="標楷體"/>
        <w:color w:val="auto"/>
        <w:sz w:val="28"/>
        <w:szCs w:val="28"/>
      </w:rPr>
    </w:lvl>
    <w:lvl w:ilvl="1">
      <w:start w:val="1"/>
      <w:numFmt w:val="decimal"/>
      <w:lvlText w:val="%2."/>
      <w:lvlJc w:val="left"/>
      <w:pPr>
        <w:tabs>
          <w:tab w:val="num" w:pos="0"/>
        </w:tabs>
        <w:ind w:left="1680" w:hanging="480"/>
      </w:pPr>
    </w:lvl>
    <w:lvl w:ilvl="2">
      <w:start w:val="1"/>
      <w:numFmt w:val="lowerRoman"/>
      <w:lvlText w:val="%3."/>
      <w:lvlJc w:val="right"/>
      <w:pPr>
        <w:tabs>
          <w:tab w:val="num" w:pos="0"/>
        </w:tabs>
        <w:ind w:left="2160" w:hanging="480"/>
      </w:pPr>
    </w:lvl>
    <w:lvl w:ilvl="3">
      <w:start w:val="1"/>
      <w:numFmt w:val="taiwaneseCountingThousand"/>
      <w:lvlText w:val="(%4)"/>
      <w:lvlJc w:val="left"/>
      <w:pPr>
        <w:tabs>
          <w:tab w:val="num" w:pos="0"/>
        </w:tabs>
        <w:ind w:left="2640" w:hanging="480"/>
      </w:pPr>
      <w:rPr>
        <w:rFonts w:hint="default"/>
      </w:rPr>
    </w:lvl>
    <w:lvl w:ilvl="4">
      <w:start w:val="1"/>
      <w:numFmt w:val="decimal"/>
      <w:lvlText w:val="(%5)"/>
      <w:lvlJc w:val="left"/>
      <w:pPr>
        <w:tabs>
          <w:tab w:val="num" w:pos="0"/>
        </w:tabs>
        <w:ind w:left="3000" w:hanging="360"/>
      </w:pPr>
      <w:rPr>
        <w:rFonts w:ascii="標楷體" w:hAnsi="標楷體" w:cs="標楷體"/>
      </w:rPr>
    </w:lvl>
    <w:lvl w:ilvl="5">
      <w:start w:val="1"/>
      <w:numFmt w:val="lowerRoman"/>
      <w:lvlText w:val="%6."/>
      <w:lvlJc w:val="right"/>
      <w:pPr>
        <w:tabs>
          <w:tab w:val="num" w:pos="0"/>
        </w:tabs>
        <w:ind w:left="3600" w:hanging="480"/>
      </w:pPr>
    </w:lvl>
    <w:lvl w:ilvl="6">
      <w:start w:val="1"/>
      <w:numFmt w:val="decimal"/>
      <w:lvlText w:val="%7."/>
      <w:lvlJc w:val="left"/>
      <w:pPr>
        <w:tabs>
          <w:tab w:val="num" w:pos="0"/>
        </w:tabs>
        <w:ind w:left="4080" w:hanging="480"/>
      </w:pPr>
    </w:lvl>
    <w:lvl w:ilvl="7">
      <w:start w:val="1"/>
      <w:numFmt w:val="ideographTraditional"/>
      <w:lvlText w:val="%8、"/>
      <w:lvlJc w:val="left"/>
      <w:pPr>
        <w:tabs>
          <w:tab w:val="num" w:pos="0"/>
        </w:tabs>
        <w:ind w:left="4560" w:hanging="480"/>
      </w:pPr>
    </w:lvl>
    <w:lvl w:ilvl="8">
      <w:start w:val="1"/>
      <w:numFmt w:val="lowerRoman"/>
      <w:lvlText w:val="%9."/>
      <w:lvlJc w:val="right"/>
      <w:pPr>
        <w:tabs>
          <w:tab w:val="num" w:pos="0"/>
        </w:tabs>
        <w:ind w:left="5040" w:hanging="480"/>
      </w:pPr>
    </w:lvl>
  </w:abstractNum>
  <w:abstractNum w:abstractNumId="4">
    <w:nsid w:val="00000005"/>
    <w:multiLevelType w:val="singleLevel"/>
    <w:tmpl w:val="00000005"/>
    <w:name w:val="WW8Num5"/>
    <w:lvl w:ilvl="0">
      <w:start w:val="1"/>
      <w:numFmt w:val="taiwaneseCountingThousand"/>
      <w:suff w:val="nothing"/>
      <w:lvlText w:val="%1、"/>
      <w:lvlJc w:val="left"/>
      <w:pPr>
        <w:tabs>
          <w:tab w:val="num" w:pos="0"/>
        </w:tabs>
        <w:ind w:left="2749" w:hanging="480"/>
      </w:pPr>
      <w:rPr>
        <w:rFonts w:ascii="Times New Roman" w:hAnsi="Times New Roman" w:cs="標楷體" w:hint="default"/>
        <w:color w:val="auto"/>
        <w:szCs w:val="28"/>
        <w:lang w:val="en-US"/>
      </w:rPr>
    </w:lvl>
  </w:abstractNum>
  <w:abstractNum w:abstractNumId="5">
    <w:nsid w:val="00000006"/>
    <w:multiLevelType w:val="singleLevel"/>
    <w:tmpl w:val="00000006"/>
    <w:name w:val="WW8Num6"/>
    <w:lvl w:ilvl="0">
      <w:start w:val="1"/>
      <w:numFmt w:val="taiwaneseCountingThousand"/>
      <w:lvlText w:val="(%1)"/>
      <w:lvlJc w:val="left"/>
      <w:pPr>
        <w:tabs>
          <w:tab w:val="num" w:pos="0"/>
        </w:tabs>
        <w:ind w:left="1440" w:hanging="720"/>
      </w:pPr>
      <w:rPr>
        <w:rFonts w:eastAsia="標楷體" w:cs="標楷體" w:hint="default"/>
        <w:sz w:val="28"/>
        <w:szCs w:val="32"/>
      </w:rPr>
    </w:lvl>
  </w:abstractNum>
  <w:abstractNum w:abstractNumId="6">
    <w:nsid w:val="00000007"/>
    <w:multiLevelType w:val="singleLevel"/>
    <w:tmpl w:val="00000007"/>
    <w:name w:val="WW8Num7"/>
    <w:lvl w:ilvl="0">
      <w:start w:val="1"/>
      <w:numFmt w:val="taiwaneseCountingThousand"/>
      <w:lvlText w:val="(%1)"/>
      <w:lvlJc w:val="left"/>
      <w:pPr>
        <w:tabs>
          <w:tab w:val="num" w:pos="0"/>
        </w:tabs>
        <w:ind w:left="1440" w:hanging="720"/>
      </w:pPr>
      <w:rPr>
        <w:rFonts w:eastAsia="標楷體" w:cs="標楷體" w:hint="default"/>
        <w:sz w:val="28"/>
        <w:szCs w:val="32"/>
      </w:rPr>
    </w:lvl>
  </w:abstractNum>
  <w:abstractNum w:abstractNumId="7">
    <w:nsid w:val="00000008"/>
    <w:multiLevelType w:val="singleLevel"/>
    <w:tmpl w:val="00000008"/>
    <w:name w:val="WW8Num8"/>
    <w:lvl w:ilvl="0">
      <w:start w:val="1"/>
      <w:numFmt w:val="taiwaneseCountingThousand"/>
      <w:lvlText w:val="(%1)"/>
      <w:lvlJc w:val="left"/>
      <w:pPr>
        <w:tabs>
          <w:tab w:val="num" w:pos="0"/>
        </w:tabs>
        <w:ind w:left="1440" w:hanging="720"/>
      </w:pPr>
      <w:rPr>
        <w:rFonts w:eastAsia="標楷體" w:cs="標楷體" w:hint="default"/>
        <w:sz w:val="28"/>
        <w:szCs w:val="32"/>
      </w:rPr>
    </w:lvl>
  </w:abstractNum>
  <w:abstractNum w:abstractNumId="8">
    <w:nsid w:val="00000009"/>
    <w:multiLevelType w:val="singleLevel"/>
    <w:tmpl w:val="00000009"/>
    <w:name w:val="WW8Num9"/>
    <w:lvl w:ilvl="0">
      <w:start w:val="1"/>
      <w:numFmt w:val="decimal"/>
      <w:lvlText w:val="%1."/>
      <w:lvlJc w:val="left"/>
      <w:pPr>
        <w:tabs>
          <w:tab w:val="num" w:pos="0"/>
        </w:tabs>
        <w:ind w:left="1805" w:hanging="480"/>
      </w:pPr>
      <w:rPr>
        <w:rFonts w:ascii="標楷體" w:eastAsia="標楷體" w:hAnsi="標楷體" w:cs="標楷體"/>
        <w:color w:val="000000"/>
        <w:sz w:val="28"/>
        <w:szCs w:val="28"/>
      </w:rPr>
    </w:lvl>
  </w:abstractNum>
  <w:abstractNum w:abstractNumId="9">
    <w:nsid w:val="0000000A"/>
    <w:multiLevelType w:val="multilevel"/>
    <w:tmpl w:val="0000000A"/>
    <w:name w:val="WW8Num10"/>
    <w:lvl w:ilvl="0">
      <w:start w:val="1"/>
      <w:numFmt w:val="taiwaneseCountingThousand"/>
      <w:lvlText w:val="(%1)"/>
      <w:lvlJc w:val="left"/>
      <w:pPr>
        <w:tabs>
          <w:tab w:val="num" w:pos="0"/>
        </w:tabs>
        <w:ind w:left="1440" w:hanging="720"/>
      </w:pPr>
      <w:rPr>
        <w:rFonts w:ascii="標楷體" w:eastAsia="標楷體" w:hAnsi="標楷體" w:cs="標楷體" w:hint="eastAsia"/>
        <w:color w:val="auto"/>
        <w:sz w:val="28"/>
        <w:szCs w:val="28"/>
      </w:rPr>
    </w:lvl>
    <w:lvl w:ilvl="1">
      <w:start w:val="1"/>
      <w:numFmt w:val="decimal"/>
      <w:lvlText w:val="%2."/>
      <w:lvlJc w:val="left"/>
      <w:pPr>
        <w:tabs>
          <w:tab w:val="num" w:pos="0"/>
        </w:tabs>
        <w:ind w:left="1680" w:hanging="480"/>
      </w:pPr>
    </w:lvl>
    <w:lvl w:ilvl="2">
      <w:start w:val="1"/>
      <w:numFmt w:val="lowerRoman"/>
      <w:lvlText w:val="%3."/>
      <w:lvlJc w:val="right"/>
      <w:pPr>
        <w:tabs>
          <w:tab w:val="num" w:pos="0"/>
        </w:tabs>
        <w:ind w:left="2160" w:hanging="480"/>
      </w:pPr>
    </w:lvl>
    <w:lvl w:ilvl="3">
      <w:start w:val="1"/>
      <w:numFmt w:val="taiwaneseCountingThousand"/>
      <w:lvlText w:val="(%4)"/>
      <w:lvlJc w:val="left"/>
      <w:pPr>
        <w:tabs>
          <w:tab w:val="num" w:pos="0"/>
        </w:tabs>
        <w:ind w:left="2640" w:hanging="480"/>
      </w:pPr>
      <w:rPr>
        <w:rFonts w:hint="default"/>
      </w:rPr>
    </w:lvl>
    <w:lvl w:ilvl="4">
      <w:start w:val="1"/>
      <w:numFmt w:val="decimal"/>
      <w:lvlText w:val="(%5)"/>
      <w:lvlJc w:val="left"/>
      <w:pPr>
        <w:tabs>
          <w:tab w:val="num" w:pos="0"/>
        </w:tabs>
        <w:ind w:left="3000" w:hanging="360"/>
      </w:pPr>
      <w:rPr>
        <w:rFonts w:ascii="標楷體" w:hAnsi="標楷體" w:cs="標楷體"/>
      </w:rPr>
    </w:lvl>
    <w:lvl w:ilvl="5">
      <w:start w:val="1"/>
      <w:numFmt w:val="lowerRoman"/>
      <w:lvlText w:val="%6."/>
      <w:lvlJc w:val="right"/>
      <w:pPr>
        <w:tabs>
          <w:tab w:val="num" w:pos="0"/>
        </w:tabs>
        <w:ind w:left="3600" w:hanging="480"/>
      </w:pPr>
    </w:lvl>
    <w:lvl w:ilvl="6">
      <w:start w:val="1"/>
      <w:numFmt w:val="decimal"/>
      <w:lvlText w:val="%7."/>
      <w:lvlJc w:val="left"/>
      <w:pPr>
        <w:tabs>
          <w:tab w:val="num" w:pos="0"/>
        </w:tabs>
        <w:ind w:left="4080" w:hanging="480"/>
      </w:pPr>
    </w:lvl>
    <w:lvl w:ilvl="7">
      <w:start w:val="1"/>
      <w:numFmt w:val="ideographTraditional"/>
      <w:lvlText w:val="%8、"/>
      <w:lvlJc w:val="left"/>
      <w:pPr>
        <w:tabs>
          <w:tab w:val="num" w:pos="0"/>
        </w:tabs>
        <w:ind w:left="4560" w:hanging="480"/>
      </w:pPr>
    </w:lvl>
    <w:lvl w:ilvl="8">
      <w:start w:val="1"/>
      <w:numFmt w:val="lowerRoman"/>
      <w:lvlText w:val="%9."/>
      <w:lvlJc w:val="right"/>
      <w:pPr>
        <w:tabs>
          <w:tab w:val="num" w:pos="0"/>
        </w:tabs>
        <w:ind w:left="5040" w:hanging="480"/>
      </w:pPr>
    </w:lvl>
  </w:abstractNum>
  <w:abstractNum w:abstractNumId="10">
    <w:nsid w:val="0000000B"/>
    <w:multiLevelType w:val="singleLevel"/>
    <w:tmpl w:val="0000000B"/>
    <w:name w:val="WW8Num11"/>
    <w:lvl w:ilvl="0">
      <w:start w:val="1"/>
      <w:numFmt w:val="taiwaneseCountingThousand"/>
      <w:lvlText w:val="(%1)"/>
      <w:lvlJc w:val="left"/>
      <w:pPr>
        <w:tabs>
          <w:tab w:val="num" w:pos="0"/>
        </w:tabs>
        <w:ind w:left="1440" w:hanging="720"/>
      </w:pPr>
      <w:rPr>
        <w:rFonts w:ascii="Times New Roman" w:eastAsia="標楷體" w:hAnsi="Times New Roman" w:cs="標楷體" w:hint="default"/>
        <w:color w:val="000000"/>
        <w:sz w:val="28"/>
        <w:szCs w:val="32"/>
      </w:rPr>
    </w:lvl>
  </w:abstractNum>
  <w:abstractNum w:abstractNumId="11">
    <w:nsid w:val="0000000C"/>
    <w:multiLevelType w:val="singleLevel"/>
    <w:tmpl w:val="0000000C"/>
    <w:name w:val="WW8Num12"/>
    <w:lvl w:ilvl="0">
      <w:start w:val="1"/>
      <w:numFmt w:val="decimal"/>
      <w:lvlText w:val="%1."/>
      <w:lvlJc w:val="left"/>
      <w:pPr>
        <w:tabs>
          <w:tab w:val="num" w:pos="0"/>
        </w:tabs>
        <w:ind w:left="1805" w:hanging="480"/>
      </w:pPr>
      <w:rPr>
        <w:rFonts w:eastAsia="標楷體" w:cs="標楷體"/>
        <w:sz w:val="28"/>
        <w:szCs w:val="28"/>
      </w:rPr>
    </w:lvl>
  </w:abstractNum>
  <w:abstractNum w:abstractNumId="12">
    <w:nsid w:val="0000000D"/>
    <w:multiLevelType w:val="singleLevel"/>
    <w:tmpl w:val="0000000D"/>
    <w:name w:val="WW8Num13"/>
    <w:lvl w:ilvl="0">
      <w:start w:val="1"/>
      <w:numFmt w:val="taiwaneseCountingThousand"/>
      <w:lvlText w:val="(%1)"/>
      <w:lvlJc w:val="left"/>
      <w:pPr>
        <w:tabs>
          <w:tab w:val="num" w:pos="0"/>
        </w:tabs>
        <w:ind w:left="1440" w:hanging="720"/>
      </w:pPr>
      <w:rPr>
        <w:rFonts w:eastAsia="標楷體" w:cs="標楷體" w:hint="default"/>
        <w:sz w:val="28"/>
        <w:szCs w:val="32"/>
      </w:rPr>
    </w:lvl>
  </w:abstractNum>
  <w:abstractNum w:abstractNumId="13">
    <w:nsid w:val="0000000E"/>
    <w:multiLevelType w:val="singleLevel"/>
    <w:tmpl w:val="0000000E"/>
    <w:name w:val="WW8Num14"/>
    <w:lvl w:ilvl="0">
      <w:start w:val="1"/>
      <w:numFmt w:val="decimal"/>
      <w:lvlText w:val="%1."/>
      <w:lvlJc w:val="left"/>
      <w:pPr>
        <w:tabs>
          <w:tab w:val="num" w:pos="0"/>
        </w:tabs>
        <w:ind w:left="1805" w:hanging="480"/>
      </w:pPr>
      <w:rPr>
        <w:rFonts w:eastAsia="標楷體" w:cs="標楷體"/>
        <w:sz w:val="28"/>
        <w:szCs w:val="28"/>
      </w:rPr>
    </w:lvl>
  </w:abstractNum>
  <w:abstractNum w:abstractNumId="14">
    <w:nsid w:val="0000000F"/>
    <w:multiLevelType w:val="singleLevel"/>
    <w:tmpl w:val="0000000F"/>
    <w:name w:val="WW8Num15"/>
    <w:lvl w:ilvl="0">
      <w:start w:val="1"/>
      <w:numFmt w:val="taiwaneseCountingThousand"/>
      <w:lvlText w:val="(%1)"/>
      <w:lvlJc w:val="left"/>
      <w:pPr>
        <w:tabs>
          <w:tab w:val="num" w:pos="0"/>
        </w:tabs>
        <w:ind w:left="1440" w:hanging="720"/>
      </w:pPr>
      <w:rPr>
        <w:rFonts w:ascii="標楷體" w:eastAsia="標楷體" w:hAnsi="標楷體" w:cs="標楷體" w:hint="default"/>
        <w:sz w:val="28"/>
        <w:szCs w:val="32"/>
      </w:rPr>
    </w:lvl>
  </w:abstractNum>
  <w:abstractNum w:abstractNumId="15">
    <w:nsid w:val="00000010"/>
    <w:multiLevelType w:val="singleLevel"/>
    <w:tmpl w:val="00000010"/>
    <w:name w:val="WW8Num16"/>
    <w:lvl w:ilvl="0">
      <w:start w:val="1"/>
      <w:numFmt w:val="taiwaneseCountingThousand"/>
      <w:lvlText w:val="(%1)"/>
      <w:lvlJc w:val="left"/>
      <w:pPr>
        <w:tabs>
          <w:tab w:val="num" w:pos="0"/>
        </w:tabs>
        <w:ind w:left="1440" w:hanging="720"/>
      </w:pPr>
      <w:rPr>
        <w:rFonts w:eastAsia="標楷體" w:cs="標楷體" w:hint="default"/>
        <w:sz w:val="28"/>
        <w:szCs w:val="32"/>
      </w:rPr>
    </w:lvl>
  </w:abstractNum>
  <w:abstractNum w:abstractNumId="16">
    <w:nsid w:val="00000011"/>
    <w:multiLevelType w:val="multilevel"/>
    <w:tmpl w:val="00000011"/>
    <w:name w:val="WW8Num17"/>
    <w:lvl w:ilvl="0">
      <w:start w:val="1"/>
      <w:numFmt w:val="taiwaneseCountingThousand"/>
      <w:pStyle w:val="a"/>
      <w:suff w:val="nothing"/>
      <w:lvlText w:val="%1"/>
      <w:lvlJc w:val="left"/>
      <w:pPr>
        <w:tabs>
          <w:tab w:val="num" w:pos="0"/>
        </w:tabs>
        <w:ind w:left="0" w:firstLine="0"/>
      </w:pPr>
    </w:lvl>
    <w:lvl w:ilvl="1">
      <w:start w:val="1"/>
      <w:numFmt w:val="none"/>
      <w:suff w:val="nothing"/>
      <w:lvlText w:val="(一)"/>
      <w:lvlJc w:val="left"/>
      <w:pPr>
        <w:tabs>
          <w:tab w:val="num" w:pos="0"/>
        </w:tabs>
        <w:ind w:left="0" w:firstLine="0"/>
      </w:pPr>
    </w:lvl>
    <w:lvl w:ilvl="2">
      <w:start w:val="1"/>
      <w:numFmt w:val="none"/>
      <w:suff w:val="nothing"/>
      <w:lvlText w:val="1."/>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00000012"/>
    <w:multiLevelType w:val="singleLevel"/>
    <w:tmpl w:val="00000012"/>
    <w:name w:val="WW8Num18"/>
    <w:lvl w:ilvl="0">
      <w:start w:val="1"/>
      <w:numFmt w:val="taiwaneseCountingThousand"/>
      <w:lvlText w:val="(%1)"/>
      <w:lvlJc w:val="left"/>
      <w:pPr>
        <w:tabs>
          <w:tab w:val="num" w:pos="0"/>
        </w:tabs>
        <w:ind w:left="1440" w:hanging="720"/>
      </w:pPr>
      <w:rPr>
        <w:rFonts w:eastAsia="標楷體" w:cs="標楷體" w:hint="default"/>
        <w:sz w:val="28"/>
        <w:szCs w:val="32"/>
      </w:rPr>
    </w:lvl>
  </w:abstractNum>
  <w:abstractNum w:abstractNumId="18">
    <w:nsid w:val="00000013"/>
    <w:multiLevelType w:val="singleLevel"/>
    <w:tmpl w:val="00000013"/>
    <w:name w:val="WW8Num19"/>
    <w:lvl w:ilvl="0">
      <w:start w:val="1"/>
      <w:numFmt w:val="taiwaneseCountingThousand"/>
      <w:lvlText w:val="(%1)"/>
      <w:lvlJc w:val="left"/>
      <w:pPr>
        <w:tabs>
          <w:tab w:val="num" w:pos="0"/>
        </w:tabs>
        <w:ind w:left="1440" w:hanging="720"/>
      </w:pPr>
      <w:rPr>
        <w:rFonts w:eastAsia="標楷體" w:cs="標楷體" w:hint="default"/>
        <w:sz w:val="28"/>
        <w:szCs w:val="32"/>
      </w:rPr>
    </w:lvl>
  </w:abstractNum>
  <w:abstractNum w:abstractNumId="19">
    <w:nsid w:val="00000014"/>
    <w:multiLevelType w:val="singleLevel"/>
    <w:tmpl w:val="00000014"/>
    <w:name w:val="WW8Num20"/>
    <w:lvl w:ilvl="0">
      <w:start w:val="1"/>
      <w:numFmt w:val="taiwaneseCountingThousand"/>
      <w:lvlText w:val="(%1)"/>
      <w:lvlJc w:val="left"/>
      <w:pPr>
        <w:tabs>
          <w:tab w:val="num" w:pos="0"/>
        </w:tabs>
        <w:ind w:left="1440" w:hanging="720"/>
      </w:pPr>
      <w:rPr>
        <w:rFonts w:ascii="標楷體" w:eastAsia="標楷體" w:hAnsi="標楷體" w:cs="標楷體" w:hint="default"/>
        <w:sz w:val="28"/>
        <w:szCs w:val="32"/>
      </w:rPr>
    </w:lvl>
  </w:abstractNum>
  <w:abstractNum w:abstractNumId="20">
    <w:nsid w:val="00000015"/>
    <w:multiLevelType w:val="singleLevel"/>
    <w:tmpl w:val="00000015"/>
    <w:name w:val="WW8Num21"/>
    <w:lvl w:ilvl="0">
      <w:start w:val="1"/>
      <w:numFmt w:val="decimal"/>
      <w:lvlText w:val="%1."/>
      <w:lvlJc w:val="left"/>
      <w:pPr>
        <w:tabs>
          <w:tab w:val="num" w:pos="0"/>
        </w:tabs>
        <w:ind w:left="1805" w:hanging="480"/>
      </w:pPr>
      <w:rPr>
        <w:rFonts w:eastAsia="標楷體" w:cs="標楷體"/>
        <w:sz w:val="28"/>
        <w:szCs w:val="28"/>
      </w:rPr>
    </w:lvl>
  </w:abstractNum>
  <w:abstractNum w:abstractNumId="21">
    <w:nsid w:val="00000016"/>
    <w:multiLevelType w:val="multilevel"/>
    <w:tmpl w:val="00000016"/>
    <w:name w:val="WW8Num22"/>
    <w:lvl w:ilvl="0">
      <w:start w:val="1"/>
      <w:numFmt w:val="taiwaneseCountingThousand"/>
      <w:lvlText w:val="(%1)"/>
      <w:lvlJc w:val="left"/>
      <w:pPr>
        <w:tabs>
          <w:tab w:val="num" w:pos="0"/>
        </w:tabs>
        <w:ind w:left="1440" w:hanging="720"/>
      </w:pPr>
      <w:rPr>
        <w:rFonts w:ascii="標楷體" w:eastAsia="標楷體" w:hAnsi="標楷體" w:cs="標楷體" w:hint="eastAsia"/>
        <w:color w:val="auto"/>
        <w:sz w:val="28"/>
        <w:szCs w:val="28"/>
      </w:rPr>
    </w:lvl>
    <w:lvl w:ilvl="1">
      <w:start w:val="1"/>
      <w:numFmt w:val="decimal"/>
      <w:lvlText w:val="%2."/>
      <w:lvlJc w:val="left"/>
      <w:pPr>
        <w:tabs>
          <w:tab w:val="num" w:pos="0"/>
        </w:tabs>
        <w:ind w:left="1680" w:hanging="480"/>
      </w:pPr>
    </w:lvl>
    <w:lvl w:ilvl="2">
      <w:start w:val="1"/>
      <w:numFmt w:val="lowerRoman"/>
      <w:lvlText w:val="%3."/>
      <w:lvlJc w:val="right"/>
      <w:pPr>
        <w:tabs>
          <w:tab w:val="num" w:pos="0"/>
        </w:tabs>
        <w:ind w:left="2160" w:hanging="480"/>
      </w:pPr>
    </w:lvl>
    <w:lvl w:ilvl="3">
      <w:start w:val="1"/>
      <w:numFmt w:val="taiwaneseCountingThousand"/>
      <w:lvlText w:val="(%4)"/>
      <w:lvlJc w:val="left"/>
      <w:pPr>
        <w:tabs>
          <w:tab w:val="num" w:pos="0"/>
        </w:tabs>
        <w:ind w:left="2640" w:hanging="480"/>
      </w:pPr>
      <w:rPr>
        <w:rFonts w:hint="default"/>
      </w:rPr>
    </w:lvl>
    <w:lvl w:ilvl="4">
      <w:start w:val="1"/>
      <w:numFmt w:val="decimal"/>
      <w:lvlText w:val="(%5)"/>
      <w:lvlJc w:val="left"/>
      <w:pPr>
        <w:tabs>
          <w:tab w:val="num" w:pos="0"/>
        </w:tabs>
        <w:ind w:left="3000" w:hanging="360"/>
      </w:pPr>
      <w:rPr>
        <w:rFonts w:ascii="標楷體" w:hAnsi="標楷體" w:cs="標楷體"/>
      </w:rPr>
    </w:lvl>
    <w:lvl w:ilvl="5">
      <w:start w:val="1"/>
      <w:numFmt w:val="lowerRoman"/>
      <w:lvlText w:val="%6."/>
      <w:lvlJc w:val="right"/>
      <w:pPr>
        <w:tabs>
          <w:tab w:val="num" w:pos="0"/>
        </w:tabs>
        <w:ind w:left="3600" w:hanging="480"/>
      </w:pPr>
    </w:lvl>
    <w:lvl w:ilvl="6">
      <w:start w:val="1"/>
      <w:numFmt w:val="decimal"/>
      <w:lvlText w:val="%7."/>
      <w:lvlJc w:val="left"/>
      <w:pPr>
        <w:tabs>
          <w:tab w:val="num" w:pos="0"/>
        </w:tabs>
        <w:ind w:left="4080" w:hanging="480"/>
      </w:pPr>
    </w:lvl>
    <w:lvl w:ilvl="7">
      <w:start w:val="1"/>
      <w:numFmt w:val="ideographTraditional"/>
      <w:lvlText w:val="%8、"/>
      <w:lvlJc w:val="left"/>
      <w:pPr>
        <w:tabs>
          <w:tab w:val="num" w:pos="0"/>
        </w:tabs>
        <w:ind w:left="4560" w:hanging="480"/>
      </w:pPr>
    </w:lvl>
    <w:lvl w:ilvl="8">
      <w:start w:val="1"/>
      <w:numFmt w:val="lowerRoman"/>
      <w:lvlText w:val="%9."/>
      <w:lvlJc w:val="right"/>
      <w:pPr>
        <w:tabs>
          <w:tab w:val="num" w:pos="0"/>
        </w:tabs>
        <w:ind w:left="5040" w:hanging="480"/>
      </w:pPr>
    </w:lvl>
  </w:abstractNum>
  <w:abstractNum w:abstractNumId="22">
    <w:nsid w:val="00000017"/>
    <w:multiLevelType w:val="multilevel"/>
    <w:tmpl w:val="00000017"/>
    <w:name w:val="WW8Num23"/>
    <w:lvl w:ilvl="0">
      <w:start w:val="1"/>
      <w:numFmt w:val="taiwaneseCountingThousand"/>
      <w:lvlText w:val="(%1)"/>
      <w:lvlJc w:val="left"/>
      <w:pPr>
        <w:tabs>
          <w:tab w:val="num" w:pos="0"/>
        </w:tabs>
        <w:ind w:left="1440" w:hanging="720"/>
      </w:pPr>
      <w:rPr>
        <w:rFonts w:ascii="標楷體" w:eastAsia="標楷體" w:hAnsi="標楷體" w:cs="標楷體" w:hint="eastAsia"/>
        <w:color w:val="auto"/>
        <w:sz w:val="28"/>
        <w:szCs w:val="28"/>
      </w:rPr>
    </w:lvl>
    <w:lvl w:ilvl="1">
      <w:start w:val="1"/>
      <w:numFmt w:val="decimal"/>
      <w:lvlText w:val="%2."/>
      <w:lvlJc w:val="left"/>
      <w:pPr>
        <w:tabs>
          <w:tab w:val="num" w:pos="0"/>
        </w:tabs>
        <w:ind w:left="1680" w:hanging="480"/>
      </w:pPr>
    </w:lvl>
    <w:lvl w:ilvl="2">
      <w:start w:val="1"/>
      <w:numFmt w:val="lowerRoman"/>
      <w:lvlText w:val="%3."/>
      <w:lvlJc w:val="right"/>
      <w:pPr>
        <w:tabs>
          <w:tab w:val="num" w:pos="0"/>
        </w:tabs>
        <w:ind w:left="2160" w:hanging="480"/>
      </w:pPr>
    </w:lvl>
    <w:lvl w:ilvl="3">
      <w:start w:val="1"/>
      <w:numFmt w:val="taiwaneseCountingThousand"/>
      <w:lvlText w:val="(%4)"/>
      <w:lvlJc w:val="left"/>
      <w:pPr>
        <w:tabs>
          <w:tab w:val="num" w:pos="0"/>
        </w:tabs>
        <w:ind w:left="2640" w:hanging="480"/>
      </w:pPr>
      <w:rPr>
        <w:rFonts w:hint="default"/>
      </w:rPr>
    </w:lvl>
    <w:lvl w:ilvl="4">
      <w:start w:val="1"/>
      <w:numFmt w:val="decimal"/>
      <w:lvlText w:val="(%5)"/>
      <w:lvlJc w:val="left"/>
      <w:pPr>
        <w:tabs>
          <w:tab w:val="num" w:pos="0"/>
        </w:tabs>
        <w:ind w:left="3000" w:hanging="360"/>
      </w:pPr>
      <w:rPr>
        <w:rFonts w:ascii="標楷體" w:hAnsi="標楷體" w:cs="標楷體"/>
      </w:rPr>
    </w:lvl>
    <w:lvl w:ilvl="5">
      <w:start w:val="1"/>
      <w:numFmt w:val="lowerRoman"/>
      <w:lvlText w:val="%6."/>
      <w:lvlJc w:val="right"/>
      <w:pPr>
        <w:tabs>
          <w:tab w:val="num" w:pos="0"/>
        </w:tabs>
        <w:ind w:left="3600" w:hanging="480"/>
      </w:pPr>
    </w:lvl>
    <w:lvl w:ilvl="6">
      <w:start w:val="1"/>
      <w:numFmt w:val="decimal"/>
      <w:lvlText w:val="%7."/>
      <w:lvlJc w:val="left"/>
      <w:pPr>
        <w:tabs>
          <w:tab w:val="num" w:pos="0"/>
        </w:tabs>
        <w:ind w:left="4080" w:hanging="480"/>
      </w:pPr>
    </w:lvl>
    <w:lvl w:ilvl="7">
      <w:start w:val="1"/>
      <w:numFmt w:val="ideographTraditional"/>
      <w:lvlText w:val="%8、"/>
      <w:lvlJc w:val="left"/>
      <w:pPr>
        <w:tabs>
          <w:tab w:val="num" w:pos="0"/>
        </w:tabs>
        <w:ind w:left="4560" w:hanging="480"/>
      </w:pPr>
    </w:lvl>
    <w:lvl w:ilvl="8">
      <w:start w:val="1"/>
      <w:numFmt w:val="lowerRoman"/>
      <w:lvlText w:val="%9."/>
      <w:lvlJc w:val="right"/>
      <w:pPr>
        <w:tabs>
          <w:tab w:val="num" w:pos="0"/>
        </w:tabs>
        <w:ind w:left="5040" w:hanging="480"/>
      </w:pPr>
    </w:lvl>
  </w:abstractNum>
  <w:abstractNum w:abstractNumId="23">
    <w:nsid w:val="00000018"/>
    <w:multiLevelType w:val="multilevel"/>
    <w:tmpl w:val="00000018"/>
    <w:name w:val="WW8Num24"/>
    <w:lvl w:ilvl="0">
      <w:start w:val="1"/>
      <w:numFmt w:val="taiwaneseCountingThousand"/>
      <w:lvlText w:val="(%1)"/>
      <w:lvlJc w:val="left"/>
      <w:pPr>
        <w:tabs>
          <w:tab w:val="num" w:pos="0"/>
        </w:tabs>
        <w:ind w:left="1440" w:hanging="720"/>
      </w:pPr>
      <w:rPr>
        <w:rFonts w:ascii="標楷體" w:eastAsia="標楷體" w:hAnsi="標楷體" w:cs="標楷體" w:hint="eastAsia"/>
        <w:color w:val="auto"/>
        <w:sz w:val="28"/>
        <w:szCs w:val="28"/>
      </w:rPr>
    </w:lvl>
    <w:lvl w:ilvl="1">
      <w:start w:val="1"/>
      <w:numFmt w:val="decimal"/>
      <w:lvlText w:val="%2."/>
      <w:lvlJc w:val="left"/>
      <w:pPr>
        <w:tabs>
          <w:tab w:val="num" w:pos="0"/>
        </w:tabs>
        <w:ind w:left="1680" w:hanging="480"/>
      </w:pPr>
    </w:lvl>
    <w:lvl w:ilvl="2">
      <w:start w:val="1"/>
      <w:numFmt w:val="lowerRoman"/>
      <w:lvlText w:val="%3."/>
      <w:lvlJc w:val="right"/>
      <w:pPr>
        <w:tabs>
          <w:tab w:val="num" w:pos="0"/>
        </w:tabs>
        <w:ind w:left="2160" w:hanging="480"/>
      </w:pPr>
    </w:lvl>
    <w:lvl w:ilvl="3">
      <w:start w:val="1"/>
      <w:numFmt w:val="taiwaneseCountingThousand"/>
      <w:lvlText w:val="(%4)"/>
      <w:lvlJc w:val="left"/>
      <w:pPr>
        <w:tabs>
          <w:tab w:val="num" w:pos="0"/>
        </w:tabs>
        <w:ind w:left="2640" w:hanging="480"/>
      </w:pPr>
      <w:rPr>
        <w:rFonts w:hint="default"/>
      </w:rPr>
    </w:lvl>
    <w:lvl w:ilvl="4">
      <w:start w:val="1"/>
      <w:numFmt w:val="decimal"/>
      <w:lvlText w:val="(%5)"/>
      <w:lvlJc w:val="left"/>
      <w:pPr>
        <w:tabs>
          <w:tab w:val="num" w:pos="0"/>
        </w:tabs>
        <w:ind w:left="3000" w:hanging="360"/>
      </w:pPr>
      <w:rPr>
        <w:rFonts w:ascii="標楷體" w:hAnsi="標楷體" w:cs="標楷體"/>
      </w:rPr>
    </w:lvl>
    <w:lvl w:ilvl="5">
      <w:start w:val="1"/>
      <w:numFmt w:val="lowerRoman"/>
      <w:lvlText w:val="%6."/>
      <w:lvlJc w:val="right"/>
      <w:pPr>
        <w:tabs>
          <w:tab w:val="num" w:pos="0"/>
        </w:tabs>
        <w:ind w:left="3600" w:hanging="480"/>
      </w:pPr>
    </w:lvl>
    <w:lvl w:ilvl="6">
      <w:start w:val="1"/>
      <w:numFmt w:val="decimal"/>
      <w:lvlText w:val="%7."/>
      <w:lvlJc w:val="left"/>
      <w:pPr>
        <w:tabs>
          <w:tab w:val="num" w:pos="0"/>
        </w:tabs>
        <w:ind w:left="4080" w:hanging="480"/>
      </w:pPr>
    </w:lvl>
    <w:lvl w:ilvl="7">
      <w:start w:val="1"/>
      <w:numFmt w:val="ideographTraditional"/>
      <w:lvlText w:val="%8、"/>
      <w:lvlJc w:val="left"/>
      <w:pPr>
        <w:tabs>
          <w:tab w:val="num" w:pos="0"/>
        </w:tabs>
        <w:ind w:left="4560" w:hanging="480"/>
      </w:pPr>
    </w:lvl>
    <w:lvl w:ilvl="8">
      <w:start w:val="1"/>
      <w:numFmt w:val="lowerRoman"/>
      <w:lvlText w:val="%9."/>
      <w:lvlJc w:val="right"/>
      <w:pPr>
        <w:tabs>
          <w:tab w:val="num" w:pos="0"/>
        </w:tabs>
        <w:ind w:left="5040" w:hanging="480"/>
      </w:pPr>
    </w:lvl>
  </w:abstractNum>
  <w:abstractNum w:abstractNumId="24">
    <w:nsid w:val="00000019"/>
    <w:multiLevelType w:val="singleLevel"/>
    <w:tmpl w:val="00000019"/>
    <w:name w:val="WW8Num25"/>
    <w:lvl w:ilvl="0">
      <w:start w:val="1"/>
      <w:numFmt w:val="taiwaneseCountingThousand"/>
      <w:lvlText w:val="(%1)"/>
      <w:lvlJc w:val="left"/>
      <w:pPr>
        <w:tabs>
          <w:tab w:val="num" w:pos="0"/>
        </w:tabs>
        <w:ind w:left="1440" w:hanging="720"/>
      </w:pPr>
      <w:rPr>
        <w:rFonts w:ascii="Times New Roman" w:eastAsia="標楷體" w:hAnsi="Times New Roman" w:cs="標楷體" w:hint="default"/>
        <w:color w:val="000000"/>
        <w:sz w:val="28"/>
        <w:szCs w:val="3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1AB0"/>
    <w:rsid w:val="00053F03"/>
    <w:rsid w:val="00073DED"/>
    <w:rsid w:val="000C6699"/>
    <w:rsid w:val="00167D15"/>
    <w:rsid w:val="0037413E"/>
    <w:rsid w:val="00481AB0"/>
    <w:rsid w:val="006218C7"/>
    <w:rsid w:val="006503FA"/>
    <w:rsid w:val="007B5E46"/>
    <w:rsid w:val="007C7B03"/>
    <w:rsid w:val="00813B66"/>
    <w:rsid w:val="008820D2"/>
    <w:rsid w:val="00A70F92"/>
    <w:rsid w:val="00AC492E"/>
    <w:rsid w:val="00BE6081"/>
    <w:rsid w:val="00D312B2"/>
    <w:rsid w:val="00DB064E"/>
    <w:rsid w:val="00DB57A6"/>
    <w:rsid w:val="00DF74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suppressAutoHyphens/>
    </w:pPr>
    <w:rPr>
      <w:rFonts w:eastAsia="新細明體"/>
      <w:kern w:val="1"/>
      <w:sz w:val="24"/>
      <w:szCs w:val="24"/>
    </w:rPr>
  </w:style>
  <w:style w:type="paragraph" w:styleId="3">
    <w:name w:val="heading 3"/>
    <w:basedOn w:val="a0"/>
    <w:next w:val="a1"/>
    <w:qFormat/>
    <w:pPr>
      <w:widowControl/>
      <w:numPr>
        <w:ilvl w:val="2"/>
        <w:numId w:val="1"/>
      </w:numPr>
      <w:spacing w:before="280" w:after="280"/>
      <w:outlineLvl w:val="2"/>
    </w:pPr>
    <w:rPr>
      <w:rFonts w:ascii="Arial Unicode MS" w:eastAsia="Arial Unicode MS" w:hAnsi="Arial Unicode MS" w:cs="Arial Unicode MS"/>
      <w:b/>
      <w:bCs/>
      <w:sz w:val="27"/>
      <w:szCs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標楷體" w:cs="標楷體"/>
      <w:sz w:val="28"/>
      <w:szCs w:val="28"/>
    </w:rPr>
  </w:style>
  <w:style w:type="character" w:customStyle="1" w:styleId="WW8Num3z0">
    <w:name w:val="WW8Num3z0"/>
    <w:rPr>
      <w:rFonts w:eastAsia="標楷體" w:cs="標楷體" w:hint="default"/>
      <w:sz w:val="28"/>
      <w:szCs w:val="28"/>
    </w:rPr>
  </w:style>
  <w:style w:type="character" w:customStyle="1" w:styleId="WW8Num4z0">
    <w:name w:val="WW8Num4z0"/>
    <w:rPr>
      <w:rFonts w:eastAsia="標楷體" w:cs="標楷體"/>
      <w:color w:val="auto"/>
      <w:sz w:val="28"/>
      <w:szCs w:val="28"/>
    </w:rPr>
  </w:style>
  <w:style w:type="character" w:customStyle="1" w:styleId="WW8Num4z1">
    <w:name w:val="WW8Num4z1"/>
  </w:style>
  <w:style w:type="character" w:customStyle="1" w:styleId="WW8Num4z2">
    <w:name w:val="WW8Num4z2"/>
  </w:style>
  <w:style w:type="character" w:customStyle="1" w:styleId="WW8Num4z3">
    <w:name w:val="WW8Num4z3"/>
    <w:rPr>
      <w:rFonts w:hint="default"/>
    </w:rPr>
  </w:style>
  <w:style w:type="character" w:customStyle="1" w:styleId="WW8Num4z4">
    <w:name w:val="WW8Num4z4"/>
    <w:rPr>
      <w:rFonts w:ascii="標楷體" w:hAnsi="標楷體" w:cs="標楷體"/>
    </w:rPr>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標楷體" w:hint="default"/>
      <w:color w:val="auto"/>
      <w:szCs w:val="28"/>
      <w:lang w:val="en-US"/>
    </w:rPr>
  </w:style>
  <w:style w:type="character" w:customStyle="1" w:styleId="WW8Num6z0">
    <w:name w:val="WW8Num6z0"/>
    <w:rPr>
      <w:rFonts w:eastAsia="標楷體" w:cs="標楷體" w:hint="default"/>
      <w:sz w:val="28"/>
      <w:szCs w:val="32"/>
    </w:rPr>
  </w:style>
  <w:style w:type="character" w:customStyle="1" w:styleId="WW8Num7z0">
    <w:name w:val="WW8Num7z0"/>
    <w:rPr>
      <w:rFonts w:eastAsia="標楷體" w:cs="標楷體" w:hint="default"/>
      <w:sz w:val="28"/>
      <w:szCs w:val="32"/>
    </w:rPr>
  </w:style>
  <w:style w:type="character" w:customStyle="1" w:styleId="WW8Num8z0">
    <w:name w:val="WW8Num8z0"/>
    <w:rPr>
      <w:rFonts w:eastAsia="標楷體" w:cs="標楷體" w:hint="default"/>
      <w:sz w:val="28"/>
      <w:szCs w:val="32"/>
    </w:rPr>
  </w:style>
  <w:style w:type="character" w:customStyle="1" w:styleId="WW8Num9z0">
    <w:name w:val="WW8Num9z0"/>
    <w:rPr>
      <w:rFonts w:ascii="標楷體" w:eastAsia="標楷體" w:hAnsi="標楷體" w:cs="標楷體"/>
      <w:color w:val="000000"/>
      <w:sz w:val="28"/>
      <w:szCs w:val="28"/>
    </w:rPr>
  </w:style>
  <w:style w:type="character" w:customStyle="1" w:styleId="WW8Num10z0">
    <w:name w:val="WW8Num10z0"/>
    <w:rPr>
      <w:rFonts w:ascii="標楷體" w:eastAsia="標楷體" w:hAnsi="標楷體" w:cs="標楷體" w:hint="eastAsia"/>
      <w:color w:val="auto"/>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rPr>
      <w:rFonts w:hint="default"/>
    </w:rPr>
  </w:style>
  <w:style w:type="character" w:customStyle="1" w:styleId="WW8Num10z4">
    <w:name w:val="WW8Num10z4"/>
    <w:rPr>
      <w:rFonts w:ascii="標楷體" w:hAnsi="標楷體" w:cs="標楷體"/>
    </w:rPr>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標楷體" w:hAnsi="Times New Roman" w:cs="標楷體" w:hint="default"/>
      <w:color w:val="000000"/>
      <w:sz w:val="28"/>
      <w:szCs w:val="32"/>
    </w:rPr>
  </w:style>
  <w:style w:type="character" w:customStyle="1" w:styleId="WW8Num12z0">
    <w:name w:val="WW8Num12z0"/>
    <w:rPr>
      <w:rFonts w:eastAsia="標楷體" w:cs="標楷體"/>
      <w:sz w:val="28"/>
      <w:szCs w:val="28"/>
    </w:rPr>
  </w:style>
  <w:style w:type="character" w:customStyle="1" w:styleId="WW8Num13z0">
    <w:name w:val="WW8Num13z0"/>
    <w:rPr>
      <w:rFonts w:eastAsia="標楷體" w:cs="標楷體" w:hint="default"/>
      <w:sz w:val="28"/>
      <w:szCs w:val="32"/>
    </w:rPr>
  </w:style>
  <w:style w:type="character" w:customStyle="1" w:styleId="WW8Num14z0">
    <w:name w:val="WW8Num14z0"/>
    <w:rPr>
      <w:rFonts w:eastAsia="標楷體" w:cs="標楷體"/>
      <w:sz w:val="28"/>
      <w:szCs w:val="28"/>
    </w:rPr>
  </w:style>
  <w:style w:type="character" w:customStyle="1" w:styleId="WW8Num15z0">
    <w:name w:val="WW8Num15z0"/>
    <w:rPr>
      <w:rFonts w:ascii="標楷體" w:eastAsia="標楷體" w:hAnsi="標楷體" w:cs="標楷體" w:hint="default"/>
      <w:sz w:val="28"/>
      <w:szCs w:val="32"/>
    </w:rPr>
  </w:style>
  <w:style w:type="character" w:customStyle="1" w:styleId="WW8Num16z0">
    <w:name w:val="WW8Num16z0"/>
    <w:rPr>
      <w:rFonts w:eastAsia="標楷體" w:cs="標楷體" w:hint="default"/>
      <w:sz w:val="28"/>
      <w:szCs w:val="32"/>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eastAsia="標楷體" w:cs="標楷體" w:hint="default"/>
      <w:sz w:val="28"/>
      <w:szCs w:val="32"/>
    </w:rPr>
  </w:style>
  <w:style w:type="character" w:customStyle="1" w:styleId="WW8Num19z0">
    <w:name w:val="WW8Num19z0"/>
    <w:rPr>
      <w:rFonts w:eastAsia="標楷體" w:cs="標楷體" w:hint="default"/>
      <w:sz w:val="28"/>
      <w:szCs w:val="32"/>
    </w:rPr>
  </w:style>
  <w:style w:type="character" w:customStyle="1" w:styleId="WW8Num20z0">
    <w:name w:val="WW8Num20z0"/>
    <w:rPr>
      <w:rFonts w:ascii="標楷體" w:eastAsia="標楷體" w:hAnsi="標楷體" w:cs="標楷體" w:hint="default"/>
      <w:sz w:val="28"/>
      <w:szCs w:val="32"/>
    </w:rPr>
  </w:style>
  <w:style w:type="character" w:customStyle="1" w:styleId="WW8Num21z0">
    <w:name w:val="WW8Num21z0"/>
    <w:rPr>
      <w:rFonts w:eastAsia="標楷體" w:cs="標楷體"/>
      <w:sz w:val="28"/>
      <w:szCs w:val="28"/>
    </w:rPr>
  </w:style>
  <w:style w:type="character" w:customStyle="1" w:styleId="WW8Num22z0">
    <w:name w:val="WW8Num22z0"/>
    <w:rPr>
      <w:rFonts w:ascii="標楷體" w:eastAsia="標楷體" w:hAnsi="標楷體" w:cs="標楷體" w:hint="eastAsia"/>
      <w:color w:val="auto"/>
      <w:sz w:val="28"/>
      <w:szCs w:val="28"/>
    </w:rPr>
  </w:style>
  <w:style w:type="character" w:customStyle="1" w:styleId="WW8Num22z1">
    <w:name w:val="WW8Num22z1"/>
  </w:style>
  <w:style w:type="character" w:customStyle="1" w:styleId="WW8Num22z2">
    <w:name w:val="WW8Num22z2"/>
  </w:style>
  <w:style w:type="character" w:customStyle="1" w:styleId="WW8Num22z3">
    <w:name w:val="WW8Num22z3"/>
    <w:rPr>
      <w:rFonts w:hint="default"/>
    </w:rPr>
  </w:style>
  <w:style w:type="character" w:customStyle="1" w:styleId="WW8Num22z4">
    <w:name w:val="WW8Num22z4"/>
    <w:rPr>
      <w:rFonts w:ascii="標楷體" w:hAnsi="標楷體" w:cs="標楷體"/>
    </w:rPr>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標楷體" w:eastAsia="標楷體" w:hAnsi="標楷體" w:cs="標楷體" w:hint="eastAsia"/>
      <w:color w:val="auto"/>
      <w:sz w:val="28"/>
      <w:szCs w:val="28"/>
    </w:rPr>
  </w:style>
  <w:style w:type="character" w:customStyle="1" w:styleId="WW8Num23z1">
    <w:name w:val="WW8Num23z1"/>
  </w:style>
  <w:style w:type="character" w:customStyle="1" w:styleId="WW8Num23z2">
    <w:name w:val="WW8Num23z2"/>
  </w:style>
  <w:style w:type="character" w:customStyle="1" w:styleId="WW8Num23z3">
    <w:name w:val="WW8Num23z3"/>
    <w:rPr>
      <w:rFonts w:hint="default"/>
    </w:rPr>
  </w:style>
  <w:style w:type="character" w:customStyle="1" w:styleId="WW8Num23z4">
    <w:name w:val="WW8Num23z4"/>
    <w:rPr>
      <w:rFonts w:ascii="標楷體" w:hAnsi="標楷體" w:cs="標楷體"/>
    </w:rPr>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標楷體" w:eastAsia="標楷體" w:hAnsi="標楷體" w:cs="標楷體" w:hint="eastAsia"/>
      <w:color w:val="auto"/>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rPr>
      <w:rFonts w:hint="default"/>
    </w:rPr>
  </w:style>
  <w:style w:type="character" w:customStyle="1" w:styleId="WW8Num24z4">
    <w:name w:val="WW8Num24z4"/>
    <w:rPr>
      <w:rFonts w:ascii="標楷體" w:hAnsi="標楷體" w:cs="標楷體"/>
    </w:rPr>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標楷體" w:hAnsi="Times New Roman" w:cs="標楷體" w:hint="default"/>
      <w:color w:val="000000"/>
      <w:sz w:val="28"/>
      <w:szCs w:val="3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5z1">
    <w:name w:val="WW8Num25z1"/>
  </w:style>
  <w:style w:type="character" w:customStyle="1" w:styleId="WW8Num25z2">
    <w:name w:val="WW8Num25z2"/>
  </w:style>
  <w:style w:type="character" w:customStyle="1" w:styleId="WW8Num25z3">
    <w:name w:val="WW8Num25z3"/>
    <w:rPr>
      <w:rFonts w:hint="default"/>
    </w:rPr>
  </w:style>
  <w:style w:type="character" w:customStyle="1" w:styleId="WW8Num25z4">
    <w:name w:val="WW8Num25z4"/>
    <w:rPr>
      <w:rFonts w:ascii="標楷體" w:hAnsi="標楷體" w:cs="標楷體"/>
    </w:rPr>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eastAsia="標楷體" w:hAnsi="Times New Roman" w:cs="標楷體" w:hint="default"/>
      <w:color w:val="000000"/>
      <w:sz w:val="28"/>
      <w:szCs w:val="32"/>
    </w:rPr>
  </w:style>
  <w:style w:type="character" w:customStyle="1" w:styleId="WW8Num26z1">
    <w:name w:val="WW8Num26z1"/>
  </w:style>
  <w:style w:type="character" w:customStyle="1" w:styleId="WW8Num26z2">
    <w:name w:val="WW8Num26z2"/>
  </w:style>
  <w:style w:type="character" w:customStyle="1" w:styleId="WW8Num26z3">
    <w:name w:val="WW8Num26z3"/>
    <w:rPr>
      <w:rFonts w:hint="default"/>
    </w:rPr>
  </w:style>
  <w:style w:type="character" w:customStyle="1" w:styleId="WW8Num26z4">
    <w:name w:val="WW8Num26z4"/>
    <w:rPr>
      <w:rFonts w:ascii="標楷體" w:hAnsi="標楷體" w:cs="標楷體"/>
    </w:rPr>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
    <w:name w:val="WW-預設段落字型"/>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1">
    <w:name w:val="WW-預設段落字型1"/>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rPr>
      <w:rFonts w:hint="default"/>
    </w:rPr>
  </w:style>
  <w:style w:type="character" w:customStyle="1" w:styleId="WW8Num3z4">
    <w:name w:val="WW8Num3z4"/>
    <w:rPr>
      <w:rFonts w:ascii="標楷體" w:hAnsi="標楷體" w:cs="標楷體"/>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hint="defaul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rPr>
      <w:rFonts w:hint="default"/>
    </w:rPr>
  </w:style>
  <w:style w:type="character" w:customStyle="1" w:styleId="WW8Num12z4">
    <w:name w:val="WW8Num12z4"/>
    <w:rPr>
      <w:rFonts w:ascii="標楷體" w:hAnsi="標楷體" w:cs="標楷體"/>
    </w:rPr>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7z0">
    <w:name w:val="WW8Num27z0"/>
    <w:rPr>
      <w:rFonts w:eastAsia="標楷體" w:cs="標楷體" w:hint="default"/>
      <w:sz w:val="28"/>
      <w:szCs w:val="3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標楷體" w:eastAsia="標楷體" w:hAnsi="標楷體" w:cs="標楷體" w:hint="eastAsia"/>
      <w:b w:val="0"/>
      <w:i w:val="0"/>
      <w:strike w:val="0"/>
      <w:dstrike w:val="0"/>
      <w:color w:val="auto"/>
      <w:sz w:val="28"/>
      <w:u w:val="none"/>
      <w:lang w:val="en-US"/>
    </w:rPr>
  </w:style>
  <w:style w:type="character" w:customStyle="1" w:styleId="WW8Num29z0">
    <w:name w:val="WW8Num29z0"/>
    <w:rPr>
      <w:rFonts w:ascii="Times New Roman" w:hAnsi="Times New Roman" w:cs="Times New Roman" w:hint="default"/>
      <w:szCs w:val="28"/>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eastAsia="標楷體" w:cs="標楷體" w:hint="default"/>
      <w:sz w:val="28"/>
      <w:szCs w:val="3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標楷體" w:eastAsia="標楷體" w:hAnsi="標楷體" w:cs="標楷體" w:hint="default"/>
      <w:sz w:val="28"/>
      <w:szCs w:val="3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eastAsia="標楷體" w:cs="標楷體"/>
      <w:sz w:val="28"/>
      <w:szCs w:val="2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11">
    <w:name w:val="WW-預設段落字型11"/>
  </w:style>
  <w:style w:type="character" w:styleId="a5">
    <w:name w:val="Hyperlink"/>
    <w:rPr>
      <w:color w:val="0000FF"/>
      <w:u w:val="single"/>
    </w:rPr>
  </w:style>
  <w:style w:type="character" w:styleId="a6">
    <w:name w:val="page number"/>
    <w:basedOn w:val="WW-11"/>
  </w:style>
  <w:style w:type="character" w:customStyle="1" w:styleId="cbottom1">
    <w:name w:val="cbottom1"/>
    <w:rPr>
      <w:rFonts w:ascii="Arial" w:hAnsi="Arial" w:cs="Arial" w:hint="default"/>
      <w:color w:val="5B5B5B"/>
      <w:sz w:val="20"/>
      <w:szCs w:val="20"/>
    </w:rPr>
  </w:style>
  <w:style w:type="character" w:styleId="a7">
    <w:name w:val="FollowedHyperlink"/>
    <w:rPr>
      <w:color w:val="800080"/>
      <w:u w:val="single"/>
    </w:rPr>
  </w:style>
  <w:style w:type="character" w:customStyle="1" w:styleId="ak">
    <w:name w:val="ak"/>
    <w:basedOn w:val="WW-11"/>
  </w:style>
  <w:style w:type="character" w:styleId="a8">
    <w:name w:val="annotation reference"/>
    <w:rPr>
      <w:sz w:val="18"/>
      <w:szCs w:val="18"/>
    </w:rPr>
  </w:style>
  <w:style w:type="character" w:customStyle="1" w:styleId="HTML">
    <w:name w:val="HTML 預設格式 字元"/>
    <w:rPr>
      <w:rFonts w:ascii="Courier New" w:hAnsi="Courier New" w:cs="Courier New"/>
      <w:kern w:val="1"/>
    </w:rPr>
  </w:style>
  <w:style w:type="character" w:customStyle="1" w:styleId="ListLabel221">
    <w:name w:val="ListLabel 221"/>
    <w:rPr>
      <w:rFonts w:ascii="Times New Roman" w:eastAsia="標楷體" w:hAnsi="Times New Roman" w:cs="新細明體"/>
      <w:color w:val="000000"/>
      <w:sz w:val="28"/>
    </w:rPr>
  </w:style>
  <w:style w:type="paragraph" w:styleId="a9">
    <w:name w:val="Title"/>
    <w:basedOn w:val="a0"/>
    <w:next w:val="a1"/>
    <w:qFormat/>
    <w:pPr>
      <w:keepNext/>
      <w:spacing w:before="240" w:after="120"/>
    </w:pPr>
    <w:rPr>
      <w:rFonts w:ascii="Liberation Sans" w:eastAsia="微軟正黑體" w:hAnsi="Liberation Sans" w:cs="Arial"/>
      <w:sz w:val="28"/>
      <w:szCs w:val="28"/>
    </w:rPr>
  </w:style>
  <w:style w:type="paragraph" w:styleId="a1">
    <w:name w:val="Body Text"/>
    <w:basedOn w:val="a0"/>
    <w:pPr>
      <w:spacing w:after="120"/>
    </w:pPr>
  </w:style>
  <w:style w:type="paragraph" w:styleId="aa">
    <w:name w:val="List"/>
    <w:basedOn w:val="a1"/>
    <w:rPr>
      <w:rFonts w:cs="Arial"/>
    </w:rPr>
  </w:style>
  <w:style w:type="paragraph" w:styleId="ab">
    <w:name w:val="caption"/>
    <w:basedOn w:val="a0"/>
    <w:qFormat/>
    <w:pPr>
      <w:suppressLineNumbers/>
      <w:spacing w:before="120" w:after="120"/>
    </w:pPr>
    <w:rPr>
      <w:rFonts w:cs="Lucida Sans"/>
      <w:i/>
      <w:iCs/>
    </w:rPr>
  </w:style>
  <w:style w:type="paragraph" w:customStyle="1" w:styleId="ac">
    <w:name w:val="索引"/>
    <w:basedOn w:val="a0"/>
    <w:pPr>
      <w:suppressLineNumbers/>
    </w:pPr>
    <w:rPr>
      <w:rFonts w:cs="Arial"/>
    </w:rPr>
  </w:style>
  <w:style w:type="paragraph" w:customStyle="1" w:styleId="WW-0">
    <w:name w:val="WW-標號"/>
    <w:basedOn w:val="a0"/>
    <w:pPr>
      <w:suppressLineNumbers/>
      <w:spacing w:before="120" w:after="120"/>
    </w:pPr>
    <w:rPr>
      <w:rFonts w:cs="Arial"/>
      <w:i/>
      <w:iCs/>
    </w:rPr>
  </w:style>
  <w:style w:type="paragraph" w:customStyle="1" w:styleId="WW-10">
    <w:name w:val="WW-標號1"/>
    <w:basedOn w:val="a0"/>
    <w:pPr>
      <w:suppressLineNumbers/>
      <w:spacing w:before="120" w:after="120"/>
    </w:pPr>
    <w:rPr>
      <w:rFonts w:cs="Arial"/>
      <w:i/>
      <w:iCs/>
    </w:rPr>
  </w:style>
  <w:style w:type="paragraph" w:styleId="ad">
    <w:name w:val="Body Text Indent"/>
    <w:basedOn w:val="a0"/>
    <w:pPr>
      <w:spacing w:line="400" w:lineRule="exact"/>
      <w:ind w:left="624" w:hanging="624"/>
    </w:pPr>
    <w:rPr>
      <w:rFonts w:eastAsia="標楷體"/>
      <w:sz w:val="32"/>
      <w:szCs w:val="20"/>
    </w:rPr>
  </w:style>
  <w:style w:type="paragraph" w:styleId="ae">
    <w:name w:val="Plain Text"/>
    <w:basedOn w:val="a0"/>
    <w:rPr>
      <w:rFonts w:ascii="細明體" w:eastAsia="細明體" w:hAnsi="細明體" w:cs="Courier New"/>
      <w:szCs w:val="20"/>
    </w:rPr>
  </w:style>
  <w:style w:type="paragraph" w:styleId="af">
    <w:name w:val="header"/>
    <w:basedOn w:val="a0"/>
    <w:pPr>
      <w:tabs>
        <w:tab w:val="center" w:pos="4153"/>
        <w:tab w:val="right" w:pos="8306"/>
      </w:tabs>
      <w:snapToGrid w:val="0"/>
    </w:pPr>
    <w:rPr>
      <w:sz w:val="20"/>
      <w:szCs w:val="20"/>
    </w:rPr>
  </w:style>
  <w:style w:type="paragraph" w:styleId="af0">
    <w:name w:val="footer"/>
    <w:basedOn w:val="a0"/>
    <w:pPr>
      <w:tabs>
        <w:tab w:val="center" w:pos="4153"/>
        <w:tab w:val="right" w:pos="8306"/>
      </w:tabs>
      <w:snapToGrid w:val="0"/>
    </w:pPr>
    <w:rPr>
      <w:sz w:val="20"/>
      <w:szCs w:val="20"/>
    </w:rPr>
  </w:style>
  <w:style w:type="paragraph" w:customStyle="1" w:styleId="7">
    <w:name w:val="樣式7"/>
    <w:basedOn w:val="a0"/>
    <w:pPr>
      <w:kinsoku w:val="0"/>
      <w:spacing w:line="360" w:lineRule="exact"/>
      <w:ind w:left="1361" w:hanging="1361"/>
      <w:textAlignment w:val="baseline"/>
    </w:pPr>
    <w:rPr>
      <w:rFonts w:eastAsia="全真楷書"/>
      <w:spacing w:val="14"/>
      <w:szCs w:val="20"/>
    </w:rPr>
  </w:style>
  <w:style w:type="paragraph" w:styleId="af1">
    <w:name w:val="Balloon Text"/>
    <w:basedOn w:val="a0"/>
    <w:rPr>
      <w:rFonts w:ascii="Arial" w:hAnsi="Arial" w:cs="Arial"/>
      <w:sz w:val="18"/>
      <w:szCs w:val="18"/>
    </w:rPr>
  </w:style>
  <w:style w:type="paragraph" w:customStyle="1" w:styleId="Default">
    <w:name w:val="Default"/>
    <w:pPr>
      <w:widowControl w:val="0"/>
      <w:suppressAutoHyphens/>
      <w:autoSpaceDE w:val="0"/>
    </w:pPr>
    <w:rPr>
      <w:rFonts w:ascii="標楷體" w:eastAsia="標楷體" w:hAnsi="標楷體" w:cs="標楷體"/>
      <w:color w:val="000000"/>
      <w:sz w:val="24"/>
      <w:szCs w:val="24"/>
      <w:lang w:bidi="sa-IN"/>
    </w:rPr>
  </w:style>
  <w:style w:type="paragraph" w:customStyle="1" w:styleId="1">
    <w:name w:val="純文字1"/>
    <w:basedOn w:val="a0"/>
    <w:pPr>
      <w:textAlignment w:val="baseline"/>
    </w:pPr>
    <w:rPr>
      <w:rFonts w:ascii="細明體" w:eastAsia="細明體" w:hAnsi="細明體" w:cs="Courier New"/>
      <w:szCs w:val="20"/>
    </w:rPr>
  </w:style>
  <w:style w:type="paragraph" w:customStyle="1" w:styleId="a">
    <w:name w:val="段落１"/>
    <w:basedOn w:val="a0"/>
    <w:pPr>
      <w:numPr>
        <w:numId w:val="17"/>
      </w:numPr>
      <w:spacing w:line="400" w:lineRule="atLeast"/>
      <w:jc w:val="both"/>
    </w:pPr>
    <w:rPr>
      <w:rFonts w:ascii="標楷體" w:eastAsia="標楷體" w:hAnsi="標楷體" w:cs="標楷體" w:hint="eastAsia"/>
      <w:sz w:val="28"/>
      <w:szCs w:val="20"/>
    </w:rPr>
  </w:style>
  <w:style w:type="paragraph" w:customStyle="1" w:styleId="af2">
    <w:name w:val="段落二"/>
    <w:basedOn w:val="a0"/>
    <w:pPr>
      <w:spacing w:line="400" w:lineRule="atLeast"/>
      <w:ind w:left="1080" w:hanging="540"/>
      <w:jc w:val="both"/>
    </w:pPr>
    <w:rPr>
      <w:rFonts w:ascii="標楷體" w:eastAsia="標楷體" w:hAnsi="標楷體" w:cs="標楷體" w:hint="eastAsia"/>
      <w:sz w:val="28"/>
      <w:szCs w:val="20"/>
    </w:rPr>
  </w:style>
  <w:style w:type="paragraph" w:styleId="af3">
    <w:name w:val="annotation text"/>
    <w:basedOn w:val="a0"/>
  </w:style>
  <w:style w:type="paragraph" w:styleId="af4">
    <w:name w:val="annotation subject"/>
    <w:basedOn w:val="af3"/>
    <w:next w:val="af3"/>
    <w:rPr>
      <w:b/>
      <w:bCs/>
    </w:rPr>
  </w:style>
  <w:style w:type="paragraph" w:styleId="af5">
    <w:name w:val="List Paragraph"/>
    <w:basedOn w:val="a0"/>
    <w:qFormat/>
    <w:pPr>
      <w:widowControl/>
      <w:ind w:left="480"/>
    </w:pPr>
    <w:rPr>
      <w:rFonts w:ascii="新細明體" w:hAnsi="新細明體" w:cs="新細明體"/>
    </w:rPr>
  </w:style>
  <w:style w:type="paragraph" w:styleId="HTML0">
    <w:name w:val="HTML Preformatted"/>
    <w:basedOn w:val="a0"/>
    <w:rPr>
      <w:rFonts w:ascii="Courier New" w:hAnsi="Courier New" w:cs="Courier New"/>
      <w:sz w:val="20"/>
      <w:szCs w:val="20"/>
    </w:rPr>
  </w:style>
  <w:style w:type="paragraph" w:customStyle="1" w:styleId="af6">
    <w:name w:val="框架內容"/>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8</Pages>
  <Words>816</Words>
  <Characters>4652</Characters>
  <Application>Microsoft Office Word</Application>
  <DocSecurity>0</DocSecurity>
  <Lines>38</Lines>
  <Paragraphs>10</Paragraphs>
  <ScaleCrop>false</ScaleCrop>
  <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臺南縣縣有房地設置再生能源發電設備投標須知</dc:title>
  <dc:creator>yulun</dc:creator>
  <cp:lastModifiedBy>蕭士斌</cp:lastModifiedBy>
  <cp:revision>7</cp:revision>
  <cp:lastPrinted>2018-06-26T00:50:00Z</cp:lastPrinted>
  <dcterms:created xsi:type="dcterms:W3CDTF">2018-06-23T08:12:00Z</dcterms:created>
  <dcterms:modified xsi:type="dcterms:W3CDTF">2018-06-26T04:44:00Z</dcterms:modified>
</cp:coreProperties>
</file>